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0C6F" w:rsidP="00D20C6F" w:rsidRDefault="00D20C6F" w14:paraId="2070E892" w14:textId="77777777">
      <w:pPr>
        <w:pStyle w:val="BodyText"/>
        <w:ind w:right="340"/>
        <w:rPr>
          <w:sz w:val="20"/>
          <w:szCs w:val="20"/>
        </w:rPr>
      </w:pPr>
    </w:p>
    <w:p w:rsidR="00D20C6F" w:rsidP="00D20C6F" w:rsidRDefault="00D20C6F" w14:paraId="2696FB89" w14:textId="77777777">
      <w:pPr>
        <w:pStyle w:val="BodyText"/>
        <w:ind w:right="340"/>
        <w:jc w:val="center"/>
      </w:pPr>
      <w:r>
        <w:rPr>
          <w:noProof/>
          <w:color w:val="2B579A"/>
          <w:shd w:val="clear" w:color="auto" w:fill="E6E6E6"/>
        </w:rPr>
        <w:drawing>
          <wp:inline distT="0" distB="0" distL="0" distR="0" wp14:anchorId="6C555051" wp14:editId="1FF72ADD">
            <wp:extent cx="5419725" cy="1428750"/>
            <wp:effectExtent l="0" t="0" r="0" b="0"/>
            <wp:docPr id="1560525188" name="Picture 156052518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25188" name="Picture 1560525188"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19725" cy="1428750"/>
                    </a:xfrm>
                    <a:prstGeom prst="rect">
                      <a:avLst/>
                    </a:prstGeom>
                  </pic:spPr>
                </pic:pic>
              </a:graphicData>
            </a:graphic>
          </wp:inline>
        </w:drawing>
      </w:r>
    </w:p>
    <w:p w:rsidR="00D20C6F" w:rsidP="00D20C6F" w:rsidRDefault="00D20C6F" w14:paraId="093C9016" w14:textId="77777777">
      <w:pPr>
        <w:pStyle w:val="BodyText"/>
        <w:ind w:right="340"/>
        <w:rPr>
          <w:rFonts w:ascii="Times New Roman"/>
          <w:sz w:val="20"/>
        </w:rPr>
      </w:pPr>
    </w:p>
    <w:p w:rsidR="00D20C6F" w:rsidP="00D20C6F" w:rsidRDefault="00D20C6F" w14:paraId="7370633F" w14:textId="77777777">
      <w:pPr>
        <w:pStyle w:val="BodyText"/>
        <w:ind w:right="340"/>
        <w:rPr>
          <w:rFonts w:ascii="Times New Roman"/>
          <w:sz w:val="20"/>
        </w:rPr>
      </w:pPr>
    </w:p>
    <w:p w:rsidR="00D20C6F" w:rsidP="00D20C6F" w:rsidRDefault="00D20C6F" w14:paraId="399C5E20" w14:textId="77777777">
      <w:pPr>
        <w:pStyle w:val="BodyText"/>
        <w:ind w:right="340"/>
        <w:rPr>
          <w:rFonts w:ascii="Times New Roman"/>
          <w:sz w:val="20"/>
        </w:rPr>
      </w:pPr>
    </w:p>
    <w:p w:rsidR="00D20C6F" w:rsidP="00D20C6F" w:rsidRDefault="00D20C6F" w14:paraId="3ED3BD61" w14:textId="77777777">
      <w:pPr>
        <w:pStyle w:val="BodyText"/>
        <w:ind w:right="340"/>
        <w:rPr>
          <w:rFonts w:ascii="Times New Roman"/>
          <w:sz w:val="20"/>
        </w:rPr>
      </w:pPr>
    </w:p>
    <w:p w:rsidR="00D20C6F" w:rsidP="00D20C6F" w:rsidRDefault="00D20C6F" w14:paraId="5C14FE37" w14:textId="77777777">
      <w:pPr>
        <w:pStyle w:val="BodyText"/>
        <w:ind w:right="340"/>
        <w:rPr>
          <w:rFonts w:ascii="Times New Roman"/>
          <w:sz w:val="20"/>
        </w:rPr>
      </w:pPr>
    </w:p>
    <w:p w:rsidR="00D20C6F" w:rsidP="00D20C6F" w:rsidRDefault="00D20C6F" w14:paraId="2C6964DD" w14:textId="77777777">
      <w:pPr>
        <w:pStyle w:val="BodyText"/>
        <w:ind w:right="340"/>
        <w:rPr>
          <w:rFonts w:ascii="Times New Roman"/>
          <w:sz w:val="20"/>
        </w:rPr>
      </w:pPr>
    </w:p>
    <w:p w:rsidR="00D20C6F" w:rsidP="00D20C6F" w:rsidRDefault="00D20C6F" w14:paraId="624F46CD" w14:textId="77777777">
      <w:pPr>
        <w:pStyle w:val="BodyText"/>
        <w:ind w:right="340"/>
        <w:rPr>
          <w:rFonts w:ascii="Times New Roman"/>
          <w:sz w:val="20"/>
        </w:rPr>
      </w:pPr>
    </w:p>
    <w:p w:rsidR="00D20C6F" w:rsidP="00D20C6F" w:rsidRDefault="00D20C6F" w14:paraId="165C227B" w14:textId="77777777">
      <w:pPr>
        <w:pStyle w:val="BodyText"/>
        <w:spacing w:before="2"/>
        <w:ind w:right="340"/>
        <w:rPr>
          <w:rFonts w:ascii="Times New Roman"/>
          <w:sz w:val="24"/>
        </w:rPr>
      </w:pPr>
    </w:p>
    <w:tbl>
      <w:tblPr>
        <w:tblW w:w="0" w:type="auto"/>
        <w:tblInd w:w="403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63"/>
      </w:tblGrid>
      <w:tr w:rsidR="00D20C6F" w:rsidTr="0993184B" w14:paraId="096879D5" w14:textId="77777777">
        <w:trPr>
          <w:trHeight w:val="1828" w:hRule="exact"/>
        </w:trPr>
        <w:tc>
          <w:tcPr>
            <w:tcW w:w="5863" w:type="dxa"/>
            <w:tcBorders>
              <w:bottom w:val="single" w:color="000000" w:themeColor="text1" w:sz="4" w:space="0"/>
            </w:tcBorders>
            <w:tcMar/>
          </w:tcPr>
          <w:p w:rsidR="00D20C6F" w:rsidRDefault="00D20C6F" w14:paraId="67A393C2" w14:textId="7467BCC0">
            <w:pPr>
              <w:pStyle w:val="TableParagraph"/>
              <w:spacing w:before="86" w:line="800" w:lineRule="exact"/>
              <w:ind w:left="0" w:right="340"/>
              <w:rPr>
                <w:rFonts w:ascii="Arial Black"/>
                <w:b/>
                <w:sz w:val="66"/>
              </w:rPr>
            </w:pPr>
            <w:r>
              <w:rPr>
                <w:rFonts w:ascii="Arial Black"/>
                <w:b/>
                <w:color w:val="073873"/>
                <w:spacing w:val="-26"/>
                <w:sz w:val="66"/>
              </w:rPr>
              <w:t xml:space="preserve">Request </w:t>
            </w:r>
            <w:r>
              <w:rPr>
                <w:rFonts w:ascii="Arial Black"/>
                <w:b/>
                <w:color w:val="073873"/>
                <w:spacing w:val="-21"/>
                <w:sz w:val="66"/>
              </w:rPr>
              <w:t xml:space="preserve">for </w:t>
            </w:r>
            <w:r w:rsidR="0091619D">
              <w:rPr>
                <w:rFonts w:ascii="Arial Black"/>
                <w:b/>
                <w:color w:val="073873"/>
                <w:spacing w:val="-28"/>
                <w:sz w:val="66"/>
              </w:rPr>
              <w:t>Proposal</w:t>
            </w:r>
          </w:p>
        </w:tc>
      </w:tr>
      <w:tr w:rsidR="00D20C6F" w:rsidTr="0993184B" w14:paraId="426D0B3F" w14:textId="77777777">
        <w:trPr>
          <w:trHeight w:val="6004" w:hRule="exact"/>
        </w:trPr>
        <w:tc>
          <w:tcPr>
            <w:tcW w:w="5863" w:type="dxa"/>
            <w:tcBorders>
              <w:top w:val="single" w:color="000000" w:themeColor="text1" w:sz="4" w:space="0"/>
            </w:tcBorders>
            <w:tcMar/>
          </w:tcPr>
          <w:p w:rsidR="00D20C6F" w:rsidRDefault="00D20C6F" w14:paraId="081699A1" w14:textId="77777777">
            <w:pPr>
              <w:pStyle w:val="TableParagraph"/>
              <w:spacing w:before="2"/>
              <w:ind w:left="0" w:right="340"/>
              <w:rPr>
                <w:rFonts w:ascii="Times New Roman"/>
                <w:sz w:val="41"/>
              </w:rPr>
            </w:pPr>
          </w:p>
          <w:p w:rsidR="00D20C6F" w:rsidRDefault="00D20C6F" w14:paraId="66106045" w14:textId="7B09F46F">
            <w:pPr>
              <w:pStyle w:val="TableParagraph"/>
              <w:ind w:left="0" w:right="340"/>
              <w:rPr>
                <w:sz w:val="28"/>
              </w:rPr>
            </w:pPr>
            <w:r>
              <w:rPr>
                <w:b/>
                <w:sz w:val="28"/>
              </w:rPr>
              <w:t xml:space="preserve">RFP TITLE: </w:t>
            </w:r>
          </w:p>
          <w:p w:rsidR="00D20C6F" w:rsidP="0993184B" w:rsidRDefault="00CA22E2" w14:paraId="1D4A2C68" w14:textId="569B27BD">
            <w:pPr>
              <w:pStyle w:val="TableParagraph"/>
              <w:spacing w:before="78"/>
              <w:ind w:left="0" w:right="340"/>
              <w:rPr>
                <w:sz w:val="28"/>
                <w:szCs w:val="28"/>
              </w:rPr>
            </w:pPr>
            <w:r w:rsidRPr="0993184B" w:rsidR="00CA22E2">
              <w:rPr>
                <w:spacing w:val="16"/>
                <w:sz w:val="28"/>
                <w:szCs w:val="28"/>
              </w:rPr>
              <w:t xml:space="preserve">FAMILY COURT </w:t>
            </w:r>
            <w:r w:rsidRPr="0993184B" w:rsidR="5B5685E8">
              <w:rPr>
                <w:spacing w:val="16"/>
                <w:sz w:val="28"/>
                <w:szCs w:val="28"/>
              </w:rPr>
              <w:t xml:space="preserve">DIGITAL </w:t>
            </w:r>
            <w:r w:rsidRPr="0993184B" w:rsidR="00CA22E2">
              <w:rPr>
                <w:spacing w:val="16"/>
                <w:sz w:val="28"/>
                <w:szCs w:val="28"/>
              </w:rPr>
              <w:t xml:space="preserve">INCLUSION </w:t>
            </w:r>
            <w:r w:rsidRPr="0993184B" w:rsidR="691D7B03">
              <w:rPr>
                <w:spacing w:val="16"/>
                <w:sz w:val="28"/>
                <w:szCs w:val="28"/>
              </w:rPr>
              <w:t xml:space="preserve">&amp; TRIAGE</w:t>
            </w:r>
          </w:p>
          <w:p w:rsidR="00D20C6F" w:rsidRDefault="00D20C6F" w14:paraId="4196567E" w14:textId="77777777">
            <w:pPr>
              <w:pStyle w:val="TableParagraph"/>
              <w:spacing w:before="11"/>
              <w:ind w:left="0" w:right="340"/>
              <w:rPr>
                <w:rFonts w:ascii="Times New Roman"/>
                <w:sz w:val="27"/>
              </w:rPr>
            </w:pPr>
          </w:p>
          <w:p w:rsidRPr="00E71484" w:rsidR="00D20C6F" w:rsidRDefault="00D20C6F" w14:paraId="3F80E8E7" w14:textId="112D9EFE">
            <w:pPr>
              <w:pStyle w:val="TableParagraph"/>
              <w:ind w:left="0" w:right="340"/>
              <w:rPr>
                <w:sz w:val="28"/>
                <w:szCs w:val="28"/>
              </w:rPr>
            </w:pPr>
            <w:r w:rsidRPr="2CEF2B3A">
              <w:rPr>
                <w:b/>
                <w:bCs/>
                <w:sz w:val="28"/>
                <w:szCs w:val="28"/>
              </w:rPr>
              <w:t>RF</w:t>
            </w:r>
            <w:r>
              <w:rPr>
                <w:b/>
                <w:bCs/>
                <w:sz w:val="28"/>
                <w:szCs w:val="28"/>
              </w:rPr>
              <w:t>P</w:t>
            </w:r>
            <w:r w:rsidRPr="2CEF2B3A">
              <w:rPr>
                <w:b/>
                <w:bCs/>
                <w:sz w:val="28"/>
                <w:szCs w:val="28"/>
              </w:rPr>
              <w:t xml:space="preserve"> #:</w:t>
            </w:r>
            <w:r w:rsidRPr="2CEF2B3A">
              <w:rPr>
                <w:sz w:val="28"/>
                <w:szCs w:val="28"/>
              </w:rPr>
              <w:t xml:space="preserve"> 2</w:t>
            </w:r>
            <w:r w:rsidR="0091619D">
              <w:rPr>
                <w:sz w:val="28"/>
                <w:szCs w:val="28"/>
              </w:rPr>
              <w:t>3</w:t>
            </w:r>
            <w:r w:rsidRPr="2CEF2B3A">
              <w:rPr>
                <w:sz w:val="28"/>
                <w:szCs w:val="28"/>
              </w:rPr>
              <w:t>-0</w:t>
            </w:r>
            <w:r w:rsidR="0091619D">
              <w:rPr>
                <w:sz w:val="28"/>
                <w:szCs w:val="28"/>
              </w:rPr>
              <w:t>1</w:t>
            </w:r>
          </w:p>
          <w:p w:rsidR="00D20C6F" w:rsidRDefault="00D20C6F" w14:paraId="4F73CA8C" w14:textId="77777777">
            <w:pPr>
              <w:pStyle w:val="TableParagraph"/>
              <w:ind w:left="0" w:right="340"/>
              <w:rPr>
                <w:rFonts w:ascii="Times New Roman"/>
                <w:sz w:val="30"/>
              </w:rPr>
            </w:pPr>
          </w:p>
          <w:p w:rsidR="00D20C6F" w:rsidRDefault="00D20C6F" w14:paraId="282E3487" w14:textId="77777777">
            <w:pPr>
              <w:pStyle w:val="TableParagraph"/>
              <w:ind w:left="0" w:right="340"/>
              <w:rPr>
                <w:rFonts w:ascii="Times New Roman"/>
                <w:sz w:val="30"/>
              </w:rPr>
            </w:pPr>
          </w:p>
          <w:p w:rsidR="00D20C6F" w:rsidRDefault="00D20C6F" w14:paraId="0FA1E674" w14:textId="77777777">
            <w:pPr>
              <w:pStyle w:val="TableParagraph"/>
              <w:ind w:left="0" w:right="340"/>
              <w:rPr>
                <w:rFonts w:ascii="Times New Roman"/>
                <w:sz w:val="30"/>
              </w:rPr>
            </w:pPr>
          </w:p>
          <w:p w:rsidR="00D20C6F" w:rsidRDefault="00D20C6F" w14:paraId="5112A796" w14:textId="77777777">
            <w:pPr>
              <w:pStyle w:val="TableParagraph"/>
              <w:ind w:left="0" w:right="340"/>
              <w:rPr>
                <w:rFonts w:ascii="Times New Roman"/>
                <w:sz w:val="30"/>
              </w:rPr>
            </w:pPr>
          </w:p>
          <w:p w:rsidR="00D20C6F" w:rsidRDefault="00D20C6F" w14:paraId="53B40F37" w14:textId="77777777">
            <w:pPr>
              <w:pStyle w:val="TableParagraph"/>
              <w:spacing w:before="230"/>
              <w:ind w:left="0" w:right="340"/>
              <w:rPr>
                <w:b/>
                <w:sz w:val="28"/>
              </w:rPr>
            </w:pPr>
            <w:r>
              <w:rPr>
                <w:b/>
                <w:sz w:val="28"/>
              </w:rPr>
              <w:t xml:space="preserve">RESPONSES DUE: </w:t>
            </w:r>
          </w:p>
          <w:p w:rsidRPr="00C15897" w:rsidR="00D20C6F" w:rsidRDefault="00D20C6F" w14:paraId="3DB89622" w14:textId="4B99A454">
            <w:pPr>
              <w:pStyle w:val="TableParagraph"/>
              <w:spacing w:before="230"/>
              <w:ind w:left="0" w:right="340"/>
              <w:rPr>
                <w:sz w:val="24"/>
                <w:szCs w:val="24"/>
              </w:rPr>
            </w:pPr>
            <w:r>
              <w:rPr>
                <w:sz w:val="24"/>
                <w:szCs w:val="24"/>
              </w:rPr>
              <w:t>3P</w:t>
            </w:r>
            <w:r w:rsidRPr="2CEF2B3A">
              <w:rPr>
                <w:sz w:val="24"/>
                <w:szCs w:val="24"/>
              </w:rPr>
              <w:t>M PACIFIC TIME</w:t>
            </w:r>
          </w:p>
          <w:p w:rsidRPr="00C15897" w:rsidR="00D20C6F" w:rsidRDefault="0091619D" w14:paraId="6D64786E" w14:textId="1D2480EB">
            <w:pPr>
              <w:pStyle w:val="TableParagraph"/>
              <w:spacing w:before="230"/>
              <w:ind w:left="0" w:right="340"/>
              <w:rPr>
                <w:sz w:val="24"/>
                <w:szCs w:val="24"/>
              </w:rPr>
            </w:pPr>
            <w:r>
              <w:rPr>
                <w:sz w:val="24"/>
                <w:szCs w:val="24"/>
              </w:rPr>
              <w:t>OCTOBER</w:t>
            </w:r>
            <w:r w:rsidRPr="2CEF2B3A" w:rsidR="00D20C6F">
              <w:rPr>
                <w:sz w:val="24"/>
                <w:szCs w:val="24"/>
              </w:rPr>
              <w:t xml:space="preserve"> </w:t>
            </w:r>
            <w:r>
              <w:rPr>
                <w:sz w:val="24"/>
                <w:szCs w:val="24"/>
              </w:rPr>
              <w:t>6</w:t>
            </w:r>
            <w:r w:rsidRPr="2CEF2B3A" w:rsidR="00D20C6F">
              <w:rPr>
                <w:sz w:val="24"/>
                <w:szCs w:val="24"/>
              </w:rPr>
              <w:t>, 2022</w:t>
            </w:r>
          </w:p>
        </w:tc>
      </w:tr>
    </w:tbl>
    <w:p w:rsidR="000614D4" w:rsidRDefault="000614D4" w14:paraId="2EA35F4E" w14:textId="77777777">
      <w:pPr>
        <w:pStyle w:val="BodyText"/>
        <w:spacing w:before="0"/>
        <w:rPr>
          <w:rFonts w:ascii="Times New Roman"/>
          <w:sz w:val="20"/>
        </w:rPr>
      </w:pPr>
    </w:p>
    <w:p w:rsidR="000614D4" w:rsidP="0085457A" w:rsidRDefault="000614D4" w14:paraId="21BA0EA9" w14:textId="77777777">
      <w:pPr>
        <w:sectPr w:rsidR="000614D4" w:rsidSect="0086123C">
          <w:footerReference w:type="default" r:id="rId9"/>
          <w:type w:val="continuous"/>
          <w:pgSz w:w="12240" w:h="15840" w:orient="portrait"/>
          <w:pgMar w:top="1500" w:right="1440" w:bottom="280" w:left="1440" w:header="720" w:footer="288" w:gutter="0"/>
          <w:pgBorders w:offsetFrom="page">
            <w:top w:val="single" w:color="366ABA" w:sz="4" w:space="24"/>
            <w:left w:val="single" w:color="366ABA" w:sz="4" w:space="24"/>
            <w:bottom w:val="single" w:color="366ABA" w:sz="4" w:space="24"/>
            <w:right w:val="single" w:color="366ABA" w:sz="4" w:space="24"/>
          </w:pgBorders>
          <w:cols w:space="720"/>
          <w:docGrid w:linePitch="299"/>
        </w:sectPr>
      </w:pPr>
    </w:p>
    <w:p w:rsidRPr="00BB63BA" w:rsidR="000614D4" w:rsidP="00BB63BA" w:rsidRDefault="00232896" w14:paraId="0CC8E11A" w14:textId="3BEF32D6">
      <w:pPr>
        <w:pStyle w:val="Heading1"/>
        <w:tabs>
          <w:tab w:val="left" w:pos="2307"/>
        </w:tabs>
        <w:spacing w:before="0"/>
      </w:pPr>
      <w:bookmarkStart w:name="Table_of_Contents" w:id="0"/>
      <w:bookmarkStart w:name="_bookmark0" w:id="1"/>
      <w:bookmarkStart w:name="Section_1._Purpose_of_RFP_and_Procuremen" w:id="2"/>
      <w:bookmarkStart w:name="_bookmark1" w:id="3"/>
      <w:bookmarkEnd w:id="0"/>
      <w:bookmarkEnd w:id="1"/>
      <w:bookmarkEnd w:id="2"/>
      <w:bookmarkEnd w:id="3"/>
      <w:r>
        <w:lastRenderedPageBreak/>
        <w:t>Section</w:t>
      </w:r>
      <w:r>
        <w:rPr>
          <w:spacing w:val="-4"/>
        </w:rPr>
        <w:t xml:space="preserve"> </w:t>
      </w:r>
      <w:r>
        <w:t>1.</w:t>
      </w:r>
      <w:r>
        <w:tab/>
      </w:r>
      <w:r>
        <w:t xml:space="preserve">Purpose of RFP and </w:t>
      </w:r>
      <w:r w:rsidR="004F6130">
        <w:t>Background Information</w:t>
      </w:r>
      <w:bookmarkStart w:name="1.0_Purpose_and_Structure_of_the_RFP" w:id="4"/>
      <w:bookmarkStart w:name="_bookmark2" w:id="5"/>
      <w:bookmarkEnd w:id="4"/>
      <w:bookmarkEnd w:id="5"/>
    </w:p>
    <w:p w:rsidR="000614D4" w:rsidP="00232896" w:rsidRDefault="00232896" w14:paraId="117059D2" w14:textId="77777777">
      <w:pPr>
        <w:pStyle w:val="Heading2"/>
        <w:numPr>
          <w:ilvl w:val="2"/>
          <w:numId w:val="2"/>
        </w:numPr>
        <w:tabs>
          <w:tab w:val="left" w:pos="1800"/>
        </w:tabs>
        <w:spacing w:before="120"/>
        <w:ind w:left="1526" w:hanging="835"/>
      </w:pPr>
      <w:bookmarkStart w:name="1.0.1_Purpose_of_RFP" w:id="6"/>
      <w:bookmarkStart w:name="_bookmark3" w:id="7"/>
      <w:bookmarkEnd w:id="6"/>
      <w:bookmarkEnd w:id="7"/>
      <w:r>
        <w:t>Purpose of</w:t>
      </w:r>
      <w:r w:rsidRPr="004F6130">
        <w:t xml:space="preserve"> </w:t>
      </w:r>
      <w:r>
        <w:t>RFP</w:t>
      </w:r>
    </w:p>
    <w:p w:rsidRPr="00D06CF7" w:rsidR="007A3C6C" w:rsidP="007A3C6C" w:rsidRDefault="007A3C6C" w14:paraId="0136C91A" w14:textId="30158B6C">
      <w:pPr>
        <w:pStyle w:val="BodyText"/>
        <w:spacing w:line="259" w:lineRule="auto"/>
        <w:ind w:left="1588" w:right="168" w:hanging="1"/>
      </w:pPr>
      <w:r>
        <w:t xml:space="preserve">This RFP aims </w:t>
      </w:r>
      <w:r w:rsidRPr="00D06CF7">
        <w:t>to find vendor</w:t>
      </w:r>
      <w:r w:rsidR="00C23119">
        <w:t>s</w:t>
      </w:r>
      <w:r w:rsidRPr="00D06CF7">
        <w:t xml:space="preserve"> who </w:t>
      </w:r>
      <w:r w:rsidRPr="00D06CF7" w:rsidR="00063BE9">
        <w:t>will</w:t>
      </w:r>
      <w:r w:rsidRPr="00D06CF7">
        <w:t xml:space="preserve"> </w:t>
      </w:r>
      <w:r w:rsidRPr="00D06CF7" w:rsidR="008F5B6F">
        <w:t>support</w:t>
      </w:r>
      <w:r w:rsidRPr="00D06CF7" w:rsidR="00963915">
        <w:t xml:space="preserve"> </w:t>
      </w:r>
      <w:r w:rsidRPr="00D06CF7" w:rsidR="001F156B">
        <w:t xml:space="preserve">the implementation of </w:t>
      </w:r>
      <w:r w:rsidRPr="00D06CF7" w:rsidR="00063BE9">
        <w:t xml:space="preserve">the recommendations </w:t>
      </w:r>
      <w:r w:rsidRPr="00D06CF7" w:rsidR="008B00FE">
        <w:t xml:space="preserve">outlined in </w:t>
      </w:r>
      <w:r w:rsidRPr="00D06CF7" w:rsidR="00063BE9">
        <w:rPr>
          <w:i/>
          <w:iCs/>
          <w:color w:val="242424"/>
          <w:shd w:val="clear" w:color="auto" w:fill="FFFFFF"/>
        </w:rPr>
        <w:t>Nevada District Court Family Division Assessment Report</w:t>
      </w:r>
      <w:r w:rsidRPr="00D06CF7" w:rsidR="00063BE9">
        <w:rPr>
          <w:color w:val="242424"/>
          <w:shd w:val="clear" w:color="auto" w:fill="FFFFFF"/>
        </w:rPr>
        <w:t xml:space="preserve"> (NCJJ: Pittsburgh 2019) </w:t>
      </w:r>
      <w:r w:rsidRPr="00D06CF7" w:rsidR="008B00FE">
        <w:rPr>
          <w:color w:val="242424"/>
          <w:shd w:val="clear" w:color="auto" w:fill="FFFFFF"/>
        </w:rPr>
        <w:t>[Attachment 1</w:t>
      </w:r>
      <w:r w:rsidRPr="00134DE8" w:rsidR="008B00FE">
        <w:t>] for</w:t>
      </w:r>
      <w:r w:rsidRPr="00134DE8" w:rsidR="00063BE9">
        <w:t xml:space="preserve"> the State of Nevada</w:t>
      </w:r>
      <w:r w:rsidRPr="00134DE8" w:rsidR="008B00FE">
        <w:t>.</w:t>
      </w:r>
      <w:r w:rsidRPr="00134DE8" w:rsidR="00063BE9">
        <w:t xml:space="preserve"> </w:t>
      </w:r>
      <w:r w:rsidRPr="00134DE8" w:rsidR="00E14931">
        <w:t>The purpose of this project is to bridge the digital divide</w:t>
      </w:r>
      <w:r w:rsidRPr="00134DE8" w:rsidR="00E14931">
        <w:t xml:space="preserve"> </w:t>
      </w:r>
      <w:r w:rsidRPr="00134DE8" w:rsidR="00E14931">
        <w:t>by improving digital inclusion in Nevada. This project will also improve the delivery of state government services while addressing case backlogs that were created or exacerbated by the COVID-19 Pandemic.</w:t>
      </w:r>
      <w:r w:rsidRPr="00D06CF7">
        <w:t xml:space="preserve"> </w:t>
      </w:r>
    </w:p>
    <w:p w:rsidRPr="00D06CF7" w:rsidR="007A3C6C" w:rsidP="007A3C6C" w:rsidRDefault="007A3C6C" w14:paraId="2DCD94DC" w14:textId="68921F44">
      <w:pPr>
        <w:pStyle w:val="BodyText"/>
        <w:spacing w:line="259" w:lineRule="auto"/>
        <w:ind w:left="1588" w:right="168" w:hanging="1"/>
      </w:pPr>
      <w:r w:rsidRPr="00D06CF7">
        <w:t xml:space="preserve">The </w:t>
      </w:r>
      <w:r w:rsidRPr="00D06CF7" w:rsidR="008B00FE">
        <w:t>implementation plan must</w:t>
      </w:r>
      <w:r w:rsidRPr="00D06CF7" w:rsidR="008F5B6F">
        <w:t xml:space="preserve"> address the following goals</w:t>
      </w:r>
      <w:r w:rsidRPr="00D06CF7">
        <w:t>:</w:t>
      </w:r>
    </w:p>
    <w:p w:rsidRPr="006B3011" w:rsidR="006B3011" w:rsidP="007A3C6C" w:rsidRDefault="006B3011" w14:paraId="60CCADB5" w14:textId="2730D84A">
      <w:pPr>
        <w:pStyle w:val="BodyText"/>
        <w:numPr>
          <w:ilvl w:val="2"/>
          <w:numId w:val="7"/>
        </w:numPr>
        <w:spacing w:line="259" w:lineRule="auto"/>
        <w:ind w:right="168"/>
        <w:rPr>
          <w:rFonts w:eastAsiaTheme="minorEastAsia"/>
        </w:rPr>
      </w:pPr>
      <w:r>
        <w:t xml:space="preserve">Integration with Case Management </w:t>
      </w:r>
      <w:proofErr w:type="gramStart"/>
      <w:r>
        <w:t>system;</w:t>
      </w:r>
      <w:proofErr w:type="gramEnd"/>
    </w:p>
    <w:p w:rsidRPr="00D06CF7" w:rsidR="007A3C6C" w:rsidP="007A3C6C" w:rsidRDefault="00F31C01" w14:paraId="42D47F0D" w14:textId="73E98628">
      <w:pPr>
        <w:pStyle w:val="BodyText"/>
        <w:numPr>
          <w:ilvl w:val="2"/>
          <w:numId w:val="7"/>
        </w:numPr>
        <w:spacing w:line="259" w:lineRule="auto"/>
        <w:ind w:right="168"/>
        <w:rPr>
          <w:rFonts w:eastAsiaTheme="minorEastAsia"/>
        </w:rPr>
      </w:pPr>
      <w:r w:rsidRPr="00D06CF7">
        <w:t>Creation</w:t>
      </w:r>
      <w:r w:rsidRPr="00D06CF7" w:rsidR="005A2F65">
        <w:t xml:space="preserve"> </w:t>
      </w:r>
      <w:r w:rsidRPr="00D06CF7" w:rsidR="005072A5">
        <w:t xml:space="preserve">of </w:t>
      </w:r>
      <w:r w:rsidRPr="00D06CF7" w:rsidR="005A2F65">
        <w:t>a s</w:t>
      </w:r>
      <w:r w:rsidRPr="00D06CF7" w:rsidR="00C22F09">
        <w:t>ustain</w:t>
      </w:r>
      <w:r w:rsidRPr="00D06CF7" w:rsidR="005A2F65">
        <w:t>able</w:t>
      </w:r>
      <w:r w:rsidRPr="00D06CF7" w:rsidR="00C22F09">
        <w:t xml:space="preserve"> family division operating </w:t>
      </w:r>
      <w:proofErr w:type="gramStart"/>
      <w:r w:rsidRPr="00D06CF7" w:rsidR="00C22F09">
        <w:t>model</w:t>
      </w:r>
      <w:r w:rsidRPr="00D06CF7" w:rsidR="000F3428">
        <w:t>;</w:t>
      </w:r>
      <w:proofErr w:type="gramEnd"/>
    </w:p>
    <w:p w:rsidRPr="00D06CF7" w:rsidR="00C22F09" w:rsidP="007A3C6C" w:rsidRDefault="00F31C01" w14:paraId="78B2A6F4" w14:textId="025C7CC4">
      <w:pPr>
        <w:pStyle w:val="BodyText"/>
        <w:numPr>
          <w:ilvl w:val="2"/>
          <w:numId w:val="7"/>
        </w:numPr>
        <w:spacing w:line="259" w:lineRule="auto"/>
        <w:ind w:right="168"/>
        <w:rPr>
          <w:rFonts w:eastAsiaTheme="minorEastAsia"/>
        </w:rPr>
      </w:pPr>
      <w:r w:rsidRPr="00D06CF7">
        <w:t>Expansion of f</w:t>
      </w:r>
      <w:r w:rsidRPr="00D06CF7" w:rsidR="00C22F09">
        <w:t xml:space="preserve">uture court </w:t>
      </w:r>
      <w:proofErr w:type="gramStart"/>
      <w:r w:rsidRPr="00D06CF7" w:rsidR="00C22F09">
        <w:t>facilit</w:t>
      </w:r>
      <w:r w:rsidRPr="00D06CF7">
        <w:t>ies</w:t>
      </w:r>
      <w:r w:rsidRPr="00D06CF7" w:rsidR="000F3428">
        <w:t>;</w:t>
      </w:r>
      <w:proofErr w:type="gramEnd"/>
    </w:p>
    <w:p w:rsidRPr="00D06CF7" w:rsidR="00C22F09" w:rsidP="007A3C6C" w:rsidRDefault="00637253" w14:paraId="37E7404B" w14:textId="27842AF6">
      <w:pPr>
        <w:pStyle w:val="BodyText"/>
        <w:numPr>
          <w:ilvl w:val="2"/>
          <w:numId w:val="7"/>
        </w:numPr>
        <w:spacing w:line="259" w:lineRule="auto"/>
        <w:ind w:right="168"/>
        <w:rPr>
          <w:rFonts w:eastAsiaTheme="minorEastAsia"/>
        </w:rPr>
      </w:pPr>
      <w:r w:rsidRPr="00D06CF7">
        <w:t>C</w:t>
      </w:r>
      <w:r w:rsidRPr="00D06CF7" w:rsidR="00F31C01">
        <w:t xml:space="preserve">reation of </w:t>
      </w:r>
      <w:r w:rsidRPr="00D06CF7" w:rsidR="005072A5">
        <w:t xml:space="preserve">a </w:t>
      </w:r>
      <w:r w:rsidRPr="00D06CF7">
        <w:t>weighted workload stud</w:t>
      </w:r>
      <w:r w:rsidRPr="00D06CF7" w:rsidR="005A2F65">
        <w:t>y</w:t>
      </w:r>
      <w:r w:rsidRPr="00D06CF7">
        <w:t xml:space="preserve"> for family </w:t>
      </w:r>
      <w:proofErr w:type="gramStart"/>
      <w:r w:rsidRPr="00D06CF7">
        <w:t>divisions</w:t>
      </w:r>
      <w:r w:rsidRPr="00D06CF7" w:rsidR="005A2F65">
        <w:t>;</w:t>
      </w:r>
      <w:proofErr w:type="gramEnd"/>
    </w:p>
    <w:p w:rsidRPr="00D06CF7" w:rsidR="00637253" w:rsidP="007A3C6C" w:rsidRDefault="005A2F65" w14:paraId="6A7B3EC0" w14:textId="71ECCC6E">
      <w:pPr>
        <w:pStyle w:val="BodyText"/>
        <w:numPr>
          <w:ilvl w:val="2"/>
          <w:numId w:val="7"/>
        </w:numPr>
        <w:spacing w:line="259" w:lineRule="auto"/>
        <w:ind w:right="168"/>
        <w:rPr>
          <w:rFonts w:eastAsiaTheme="minorEastAsia"/>
        </w:rPr>
      </w:pPr>
      <w:r w:rsidRPr="00D06CF7">
        <w:t>Establish</w:t>
      </w:r>
      <w:r w:rsidRPr="00D06CF7" w:rsidR="00F31C01">
        <w:t>ment</w:t>
      </w:r>
      <w:r w:rsidRPr="00D06CF7">
        <w:t xml:space="preserve"> </w:t>
      </w:r>
      <w:r w:rsidRPr="00D06CF7" w:rsidR="005072A5">
        <w:t xml:space="preserve">of </w:t>
      </w:r>
      <w:r w:rsidRPr="00D06CF7" w:rsidR="00637253">
        <w:t xml:space="preserve">a hearing master study or </w:t>
      </w:r>
      <w:proofErr w:type="gramStart"/>
      <w:r w:rsidRPr="00D06CF7" w:rsidR="00637253">
        <w:t>taskforce</w:t>
      </w:r>
      <w:r w:rsidRPr="00D06CF7">
        <w:t>;</w:t>
      </w:r>
      <w:proofErr w:type="gramEnd"/>
    </w:p>
    <w:p w:rsidRPr="00D06CF7" w:rsidR="00292D01" w:rsidP="007A3C6C" w:rsidRDefault="00292D01" w14:paraId="2E591A79" w14:textId="34D19904">
      <w:pPr>
        <w:pStyle w:val="BodyText"/>
        <w:numPr>
          <w:ilvl w:val="2"/>
          <w:numId w:val="7"/>
        </w:numPr>
        <w:spacing w:line="259" w:lineRule="auto"/>
        <w:ind w:right="168"/>
        <w:rPr>
          <w:rFonts w:eastAsiaTheme="minorEastAsia"/>
        </w:rPr>
      </w:pPr>
      <w:r w:rsidRPr="00D06CF7">
        <w:t>Establish</w:t>
      </w:r>
      <w:r w:rsidRPr="00D06CF7" w:rsidR="005072A5">
        <w:t>ment of</w:t>
      </w:r>
      <w:r w:rsidRPr="00D06CF7">
        <w:t xml:space="preserve"> a Family Division Services Advisory Group with local </w:t>
      </w:r>
      <w:proofErr w:type="gramStart"/>
      <w:r w:rsidRPr="00D06CF7">
        <w:t>judges</w:t>
      </w:r>
      <w:r w:rsidRPr="00D06CF7" w:rsidR="005A2F65">
        <w:t>;</w:t>
      </w:r>
      <w:proofErr w:type="gramEnd"/>
    </w:p>
    <w:p w:rsidRPr="00D06CF7" w:rsidR="00CA22E2" w:rsidP="007A3C6C" w:rsidRDefault="00134DE8" w14:paraId="67E7EB38" w14:textId="144C8244">
      <w:pPr>
        <w:pStyle w:val="BodyText"/>
        <w:numPr>
          <w:ilvl w:val="2"/>
          <w:numId w:val="7"/>
        </w:numPr>
        <w:spacing w:line="259" w:lineRule="auto"/>
        <w:ind w:right="168"/>
        <w:rPr>
          <w:rFonts w:eastAsiaTheme="minorEastAsia"/>
        </w:rPr>
      </w:pPr>
      <w:r>
        <w:t>Relationship-building</w:t>
      </w:r>
      <w:r w:rsidRPr="00D06CF7" w:rsidR="00CA22E2">
        <w:t xml:space="preserve"> with Family Division Services groups around the </w:t>
      </w:r>
      <w:proofErr w:type="gramStart"/>
      <w:r w:rsidRPr="00D06CF7" w:rsidR="00CA22E2">
        <w:t>country;</w:t>
      </w:r>
      <w:proofErr w:type="gramEnd"/>
    </w:p>
    <w:p w:rsidRPr="00D06CF7" w:rsidR="00426D48" w:rsidP="007A3C6C" w:rsidRDefault="00426D48" w14:paraId="703143C8" w14:textId="57D82030">
      <w:pPr>
        <w:pStyle w:val="BodyText"/>
        <w:numPr>
          <w:ilvl w:val="2"/>
          <w:numId w:val="7"/>
        </w:numPr>
        <w:spacing w:line="259" w:lineRule="auto"/>
        <w:ind w:right="168"/>
        <w:rPr>
          <w:rFonts w:eastAsiaTheme="minorEastAsia"/>
        </w:rPr>
      </w:pPr>
      <w:r w:rsidRPr="00D06CF7">
        <w:t xml:space="preserve">Support </w:t>
      </w:r>
      <w:r w:rsidRPr="00D06CF7" w:rsidR="005072A5">
        <w:t xml:space="preserve">for </w:t>
      </w:r>
      <w:r w:rsidRPr="00D06CF7">
        <w:t xml:space="preserve">specialized ongoing domestic violence </w:t>
      </w:r>
      <w:proofErr w:type="gramStart"/>
      <w:r w:rsidRPr="00D06CF7">
        <w:t>training</w:t>
      </w:r>
      <w:r w:rsidRPr="00D06CF7" w:rsidR="005072A5">
        <w:t>;</w:t>
      </w:r>
      <w:proofErr w:type="gramEnd"/>
    </w:p>
    <w:p w:rsidRPr="00D06CF7" w:rsidR="00426D48" w:rsidP="007A3C6C" w:rsidRDefault="00426D48" w14:paraId="7703C310" w14:textId="197E4076">
      <w:pPr>
        <w:pStyle w:val="BodyText"/>
        <w:numPr>
          <w:ilvl w:val="2"/>
          <w:numId w:val="7"/>
        </w:numPr>
        <w:spacing w:line="259" w:lineRule="auto"/>
        <w:ind w:right="168"/>
        <w:rPr>
          <w:rFonts w:eastAsiaTheme="minorEastAsia"/>
        </w:rPr>
      </w:pPr>
      <w:r w:rsidRPr="00D06CF7">
        <w:t>Expan</w:t>
      </w:r>
      <w:r w:rsidRPr="00D06CF7" w:rsidR="005072A5">
        <w:t>sion of</w:t>
      </w:r>
      <w:r w:rsidRPr="00D06CF7">
        <w:t xml:space="preserve"> data collection in rural </w:t>
      </w:r>
      <w:proofErr w:type="gramStart"/>
      <w:r w:rsidRPr="00D06CF7">
        <w:t>jurisdictions</w:t>
      </w:r>
      <w:r w:rsidRPr="00D06CF7" w:rsidR="005072A5">
        <w:t>;</w:t>
      </w:r>
      <w:proofErr w:type="gramEnd"/>
    </w:p>
    <w:p w:rsidRPr="00D06CF7" w:rsidR="007A3C6C" w:rsidP="007A3C6C" w:rsidRDefault="007A3C6C" w14:paraId="6D1AF930" w14:textId="05814A46">
      <w:pPr>
        <w:pStyle w:val="BodyText"/>
        <w:numPr>
          <w:ilvl w:val="2"/>
          <w:numId w:val="7"/>
        </w:numPr>
        <w:spacing w:line="259" w:lineRule="auto"/>
        <w:ind w:right="168"/>
        <w:rPr>
          <w:rFonts w:eastAsiaTheme="minorEastAsia"/>
        </w:rPr>
      </w:pPr>
      <w:r w:rsidRPr="00D06CF7">
        <w:t xml:space="preserve">Tracking court performance, such as clearance rates, age of active pending cases, time to dispositions, other </w:t>
      </w:r>
      <w:proofErr w:type="spellStart"/>
      <w:r w:rsidRPr="00D06CF7">
        <w:t>CourTools</w:t>
      </w:r>
      <w:proofErr w:type="spellEnd"/>
      <w:r w:rsidRPr="00D06CF7">
        <w:t>, and revenue collections;</w:t>
      </w:r>
      <w:r w:rsidRPr="00D06CF7" w:rsidR="00CA22E2">
        <w:t xml:space="preserve"> and</w:t>
      </w:r>
    </w:p>
    <w:p w:rsidRPr="00D06CF7" w:rsidR="00DF5D63" w:rsidP="001D4056" w:rsidRDefault="007A3C6C" w14:paraId="4159BC7A" w14:textId="25481DFC">
      <w:pPr>
        <w:pStyle w:val="BodyText"/>
        <w:numPr>
          <w:ilvl w:val="2"/>
          <w:numId w:val="7"/>
        </w:numPr>
        <w:spacing w:line="259" w:lineRule="auto"/>
        <w:ind w:right="168"/>
        <w:rPr>
          <w:rFonts w:eastAsiaTheme="minorEastAsia"/>
        </w:rPr>
      </w:pPr>
      <w:r w:rsidRPr="00D06CF7">
        <w:t>Assist</w:t>
      </w:r>
      <w:r w:rsidRPr="00D06CF7" w:rsidR="003C4D77">
        <w:t>ance</w:t>
      </w:r>
      <w:r w:rsidRPr="00D06CF7">
        <w:t xml:space="preserve"> with data sharing between related criminal justice and state </w:t>
      </w:r>
      <w:proofErr w:type="gramStart"/>
      <w:r w:rsidRPr="00D06CF7">
        <w:t>agencies</w:t>
      </w:r>
      <w:r w:rsidRPr="00D06CF7" w:rsidR="00DF5D63">
        <w:t>;</w:t>
      </w:r>
      <w:proofErr w:type="gramEnd"/>
    </w:p>
    <w:p w:rsidRPr="00D06CF7" w:rsidR="006C7327" w:rsidP="006C7327" w:rsidRDefault="006C7327" w14:paraId="0AC67F61" w14:textId="4399E9D4">
      <w:pPr>
        <w:pStyle w:val="BodyText"/>
        <w:ind w:left="1588" w:right="168" w:hanging="1"/>
        <w:rPr>
          <w:u w:val="single"/>
        </w:rPr>
      </w:pPr>
    </w:p>
    <w:p w:rsidRPr="00D06CF7" w:rsidR="006C7327" w:rsidP="00232896" w:rsidRDefault="00B16B3D" w14:paraId="2809DF55" w14:textId="049EC47E">
      <w:pPr>
        <w:pStyle w:val="Heading2"/>
        <w:numPr>
          <w:ilvl w:val="2"/>
          <w:numId w:val="2"/>
        </w:numPr>
        <w:tabs>
          <w:tab w:val="left" w:pos="1800"/>
        </w:tabs>
        <w:ind w:left="1530" w:hanging="835"/>
      </w:pPr>
      <w:r w:rsidRPr="00D06CF7">
        <w:t>Background Information</w:t>
      </w:r>
    </w:p>
    <w:p w:rsidRPr="00D06CF7" w:rsidR="00C23119" w:rsidP="00E14931" w:rsidRDefault="00047C16" w14:paraId="2B17EC89" w14:textId="2ED977D6">
      <w:pPr>
        <w:pStyle w:val="BodyText"/>
        <w:ind w:left="1588" w:right="168" w:hanging="1"/>
      </w:pPr>
      <w:r w:rsidRPr="00D06CF7">
        <w:t xml:space="preserve">On behalf of the </w:t>
      </w:r>
      <w:r w:rsidRPr="00D06CF7" w:rsidR="00CA22E2">
        <w:t xml:space="preserve">Administrative Office of the Courts, </w:t>
      </w:r>
      <w:r w:rsidRPr="00D06CF7">
        <w:t>Supreme Court of Nevada</w:t>
      </w:r>
      <w:r w:rsidRPr="00D06CF7" w:rsidR="00CA22E2">
        <w:t xml:space="preserve"> (AOC)</w:t>
      </w:r>
      <w:r w:rsidRPr="00D06CF7">
        <w:t>, the National Center for Juvenile Justice</w:t>
      </w:r>
      <w:r w:rsidRPr="00D06CF7" w:rsidR="00CA22E2">
        <w:t xml:space="preserve"> </w:t>
      </w:r>
      <w:r w:rsidRPr="00D06CF7">
        <w:t>conducted a</w:t>
      </w:r>
      <w:r w:rsidR="00A3169F">
        <w:t xml:space="preserve"> </w:t>
      </w:r>
      <w:r w:rsidRPr="00D06CF7">
        <w:t>study to assess the status of the family division models op</w:t>
      </w:r>
      <w:r w:rsidR="00A3169F">
        <w:t>erating</w:t>
      </w:r>
      <w:r w:rsidRPr="00D06CF7">
        <w:t xml:space="preserve"> </w:t>
      </w:r>
      <w:r w:rsidR="00A3169F">
        <w:t xml:space="preserve">in </w:t>
      </w:r>
      <w:r w:rsidRPr="00D06CF7">
        <w:t xml:space="preserve">the 2nd and 8th Judicial District Courts. The study’s purpose </w:t>
      </w:r>
      <w:r w:rsidRPr="00D06CF7" w:rsidR="00CA22E2">
        <w:t>wa</w:t>
      </w:r>
      <w:r w:rsidRPr="00D06CF7">
        <w:t xml:space="preserve">s to identify the areas in which the models for juvenile and family law </w:t>
      </w:r>
      <w:r w:rsidRPr="00D06CF7" w:rsidR="00CA22E2">
        <w:t>met</w:t>
      </w:r>
      <w:r w:rsidRPr="00D06CF7">
        <w:t xml:space="preserve"> legislative goals, to identify the primary challenges for meeting th</w:t>
      </w:r>
      <w:r w:rsidRPr="00D06CF7" w:rsidR="00CA22E2">
        <w:t>o</w:t>
      </w:r>
      <w:r w:rsidRPr="00D06CF7">
        <w:t>se goals, and to make recommendations.</w:t>
      </w:r>
      <w:r w:rsidRPr="00D06CF7" w:rsidR="00CA22E2">
        <w:t xml:space="preserve"> </w:t>
      </w:r>
      <w:r w:rsidR="00A3169F">
        <w:t xml:space="preserve">The </w:t>
      </w:r>
      <w:r w:rsidRPr="00D06CF7" w:rsidR="00CA22E2">
        <w:t>AOC aims to find vendor</w:t>
      </w:r>
      <w:r w:rsidR="00A3169F">
        <w:t>s</w:t>
      </w:r>
      <w:r w:rsidRPr="00D06CF7" w:rsidR="00CA22E2">
        <w:t xml:space="preserve"> who can implement the recommendations outlined in the study.</w:t>
      </w:r>
    </w:p>
    <w:p w:rsidRPr="00D06CF7" w:rsidR="000B4EFB" w:rsidP="005114EC" w:rsidRDefault="000B4EFB" w14:paraId="5A528163" w14:textId="0D36B403">
      <w:pPr>
        <w:pStyle w:val="BodyText"/>
        <w:ind w:left="1588" w:right="168" w:hanging="1"/>
      </w:pPr>
      <w:r w:rsidRPr="00D06CF7">
        <w:br w:type="page"/>
      </w:r>
    </w:p>
    <w:p w:rsidRPr="00D06CF7" w:rsidR="0072190B" w:rsidP="0072190B" w:rsidRDefault="000E1F28" w14:paraId="6AB1AC13" w14:textId="3D23564E">
      <w:pPr>
        <w:pStyle w:val="Heading1"/>
        <w:tabs>
          <w:tab w:val="left" w:pos="2307"/>
        </w:tabs>
        <w:spacing w:before="0"/>
        <w:rPr>
          <w:rFonts w:ascii="Arial" w:hAnsi="Arial" w:cs="Arial"/>
        </w:rPr>
      </w:pPr>
      <w:bookmarkStart w:name="1.0.4_Structure" w:id="8"/>
      <w:bookmarkStart w:name="_bookmark6" w:id="9"/>
      <w:bookmarkStart w:name="_Hlk103866052" w:id="10"/>
      <w:bookmarkEnd w:id="8"/>
      <w:bookmarkEnd w:id="9"/>
      <w:r w:rsidRPr="00D06CF7">
        <w:rPr>
          <w:rFonts w:ascii="Arial" w:hAnsi="Arial" w:cs="Arial"/>
        </w:rPr>
        <w:lastRenderedPageBreak/>
        <w:t>Section 2. RFP Structure</w:t>
      </w:r>
    </w:p>
    <w:bookmarkEnd w:id="10"/>
    <w:p w:rsidRPr="00D06CF7" w:rsidR="000614D4" w:rsidP="00232896" w:rsidRDefault="00232896" w14:paraId="500C84AE" w14:textId="5C0E954B">
      <w:pPr>
        <w:pStyle w:val="Heading2"/>
        <w:numPr>
          <w:ilvl w:val="1"/>
          <w:numId w:val="3"/>
        </w:numPr>
        <w:tabs>
          <w:tab w:val="left" w:pos="1710"/>
          <w:tab w:val="left" w:pos="1800"/>
        </w:tabs>
        <w:spacing w:before="120"/>
        <w:ind w:left="1526" w:hanging="835"/>
      </w:pPr>
      <w:r w:rsidRPr="00D06CF7">
        <w:t>Structure</w:t>
      </w:r>
    </w:p>
    <w:p w:rsidRPr="00D06CF7" w:rsidR="000614D4" w:rsidRDefault="00232896" w14:paraId="0B4AE9D2" w14:textId="77777777">
      <w:pPr>
        <w:pStyle w:val="BodyText"/>
        <w:ind w:left="1588" w:right="218"/>
      </w:pPr>
      <w:r w:rsidRPr="00D06CF7">
        <w:t>This RFP states the overall scope of services desired, procurement terms and conditions, and the format for response submission by an Offeror.</w:t>
      </w:r>
    </w:p>
    <w:p w:rsidRPr="00D06CF7" w:rsidR="000614D4" w:rsidRDefault="00232896" w14:paraId="53F8D243" w14:textId="77777777">
      <w:pPr>
        <w:pStyle w:val="BodyText"/>
        <w:ind w:left="1588" w:right="744" w:hanging="1"/>
      </w:pPr>
      <w:r w:rsidRPr="00D06CF7">
        <w:t>The RFP structure is organized into the following main RFP sections and supporting Attachments:</w:t>
      </w:r>
    </w:p>
    <w:p w:rsidRPr="00D06CF7" w:rsidR="000614D4" w:rsidRDefault="000614D4" w14:paraId="0BA73E4B" w14:textId="77777777">
      <w:pPr>
        <w:pStyle w:val="BodyText"/>
        <w:spacing w:before="9" w:after="1"/>
        <w:rPr>
          <w:sz w:val="23"/>
        </w:rPr>
      </w:pPr>
    </w:p>
    <w:tbl>
      <w:tblPr>
        <w:tblW w:w="15946" w:type="dxa"/>
        <w:tblInd w:w="147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64"/>
        <w:gridCol w:w="7191"/>
        <w:gridCol w:w="7191"/>
      </w:tblGrid>
      <w:tr w:rsidRPr="00D06CF7" w:rsidR="000614D4" w:rsidTr="000C1729" w14:paraId="253A6497" w14:textId="77777777">
        <w:trPr>
          <w:gridAfter w:val="1"/>
          <w:wAfter w:w="7191" w:type="dxa"/>
          <w:trHeight w:val="751" w:hRule="exact"/>
        </w:trPr>
        <w:tc>
          <w:tcPr>
            <w:tcW w:w="1564" w:type="dxa"/>
            <w:tcBorders>
              <w:bottom w:val="single" w:color="BEBEBE" w:sz="4" w:space="0"/>
            </w:tcBorders>
          </w:tcPr>
          <w:p w:rsidRPr="00D06CF7" w:rsidR="000614D4" w:rsidRDefault="00232896" w14:paraId="2A0D7094" w14:textId="77777777">
            <w:pPr>
              <w:pStyle w:val="TableParagraph"/>
              <w:spacing w:line="247" w:lineRule="exact"/>
              <w:ind w:left="115"/>
              <w:rPr>
                <w:b/>
              </w:rPr>
            </w:pPr>
            <w:r w:rsidRPr="00D06CF7">
              <w:rPr>
                <w:b/>
              </w:rPr>
              <w:t>Section 1</w:t>
            </w:r>
          </w:p>
        </w:tc>
        <w:tc>
          <w:tcPr>
            <w:tcW w:w="7191" w:type="dxa"/>
            <w:tcBorders>
              <w:bottom w:val="single" w:color="BEBEBE" w:sz="4" w:space="0"/>
            </w:tcBorders>
          </w:tcPr>
          <w:p w:rsidRPr="00D06CF7" w:rsidR="000614D4" w:rsidRDefault="00232896" w14:paraId="60A4B37B" w14:textId="12449864">
            <w:pPr>
              <w:pStyle w:val="TableParagraph"/>
              <w:spacing w:line="247" w:lineRule="exact"/>
              <w:ind w:left="466"/>
              <w:rPr>
                <w:b/>
              </w:rPr>
            </w:pPr>
            <w:r w:rsidRPr="00D06CF7">
              <w:rPr>
                <w:b/>
              </w:rPr>
              <w:t xml:space="preserve">Purpose of RFP and </w:t>
            </w:r>
            <w:r w:rsidRPr="00D06CF7" w:rsidR="00134B86">
              <w:rPr>
                <w:b/>
              </w:rPr>
              <w:t>Background Information</w:t>
            </w:r>
          </w:p>
          <w:p w:rsidRPr="00D06CF7" w:rsidR="000614D4" w:rsidRDefault="00232896" w14:paraId="29866E18" w14:textId="66425339">
            <w:pPr>
              <w:pStyle w:val="TableParagraph"/>
              <w:spacing w:before="121"/>
              <w:ind w:left="466" w:right="518" w:hanging="1"/>
            </w:pPr>
            <w:r w:rsidRPr="00D06CF7">
              <w:t>Provides an overview of the RFP and its intended outcomes</w:t>
            </w:r>
            <w:r w:rsidRPr="00D06CF7" w:rsidR="000C1729">
              <w:t>.</w:t>
            </w:r>
          </w:p>
        </w:tc>
      </w:tr>
      <w:tr w:rsidRPr="00D06CF7" w:rsidR="000614D4" w:rsidTr="00D20C6F" w14:paraId="67289DE3" w14:textId="77777777">
        <w:trPr>
          <w:gridAfter w:val="1"/>
          <w:wAfter w:w="7191" w:type="dxa"/>
          <w:trHeight w:val="1188" w:hRule="exact"/>
        </w:trPr>
        <w:tc>
          <w:tcPr>
            <w:tcW w:w="1564" w:type="dxa"/>
            <w:tcBorders>
              <w:top w:val="single" w:color="BEBEBE" w:sz="4" w:space="0"/>
              <w:bottom w:val="single" w:color="BEBEBE" w:sz="4" w:space="0"/>
            </w:tcBorders>
          </w:tcPr>
          <w:p w:rsidRPr="00D06CF7" w:rsidR="000614D4" w:rsidRDefault="00232896" w14:paraId="4C31AE7A" w14:textId="77777777">
            <w:pPr>
              <w:pStyle w:val="TableParagraph"/>
              <w:spacing w:before="151"/>
              <w:ind w:left="115"/>
              <w:rPr>
                <w:b/>
              </w:rPr>
            </w:pPr>
            <w:r w:rsidRPr="00D06CF7">
              <w:rPr>
                <w:b/>
              </w:rPr>
              <w:t>Section 2</w:t>
            </w:r>
          </w:p>
        </w:tc>
        <w:tc>
          <w:tcPr>
            <w:tcW w:w="7191" w:type="dxa"/>
            <w:tcBorders>
              <w:top w:val="single" w:color="BEBEBE" w:sz="4" w:space="0"/>
              <w:bottom w:val="single" w:color="BEBEBE" w:sz="4" w:space="0"/>
            </w:tcBorders>
          </w:tcPr>
          <w:p w:rsidRPr="00D06CF7" w:rsidR="000614D4" w:rsidRDefault="00134B86" w14:paraId="28FF4BF3" w14:textId="33D58266">
            <w:pPr>
              <w:pStyle w:val="TableParagraph"/>
              <w:spacing w:before="151"/>
              <w:ind w:left="466"/>
              <w:rPr>
                <w:b/>
              </w:rPr>
            </w:pPr>
            <w:r w:rsidRPr="00D06CF7">
              <w:rPr>
                <w:b/>
              </w:rPr>
              <w:t>RFP Structure</w:t>
            </w:r>
          </w:p>
          <w:p w:rsidRPr="00D06CF7" w:rsidR="000614D4" w:rsidRDefault="00232896" w14:paraId="651163A5" w14:textId="2A1BDD11">
            <w:pPr>
              <w:pStyle w:val="TableParagraph"/>
              <w:spacing w:before="119"/>
              <w:ind w:left="467" w:right="371" w:hanging="1"/>
            </w:pPr>
            <w:r w:rsidRPr="00D06CF7">
              <w:t xml:space="preserve">Overview of </w:t>
            </w:r>
            <w:r w:rsidRPr="00D06CF7" w:rsidR="000C1729">
              <w:t>RFP’s structure, schedule, and communication guidelines.</w:t>
            </w:r>
          </w:p>
        </w:tc>
      </w:tr>
      <w:tr w:rsidRPr="00D06CF7" w:rsidR="005F2DCA" w:rsidTr="000C1729" w14:paraId="6EDB303D" w14:textId="77777777">
        <w:trPr>
          <w:gridAfter w:val="1"/>
          <w:wAfter w:w="7191" w:type="dxa"/>
          <w:trHeight w:val="986" w:hRule="exact"/>
        </w:trPr>
        <w:tc>
          <w:tcPr>
            <w:tcW w:w="1564" w:type="dxa"/>
            <w:tcBorders>
              <w:top w:val="single" w:color="BEBEBE" w:sz="4" w:space="0"/>
            </w:tcBorders>
          </w:tcPr>
          <w:p w:rsidRPr="00D06CF7" w:rsidR="005F2DCA" w:rsidP="005F2DCA" w:rsidRDefault="005F2DCA" w14:paraId="03911C93" w14:textId="19F5374B">
            <w:pPr>
              <w:pStyle w:val="TableParagraph"/>
              <w:spacing w:before="149"/>
              <w:ind w:left="115"/>
              <w:rPr>
                <w:b/>
              </w:rPr>
            </w:pPr>
            <w:r w:rsidRPr="00D06CF7">
              <w:rPr>
                <w:b/>
              </w:rPr>
              <w:t xml:space="preserve">Section </w:t>
            </w:r>
            <w:r w:rsidRPr="00D06CF7" w:rsidR="00F6780F">
              <w:rPr>
                <w:b/>
              </w:rPr>
              <w:t>3</w:t>
            </w:r>
          </w:p>
        </w:tc>
        <w:tc>
          <w:tcPr>
            <w:tcW w:w="7191" w:type="dxa"/>
            <w:tcBorders>
              <w:top w:val="single" w:color="BEBEBE" w:sz="4" w:space="0"/>
            </w:tcBorders>
          </w:tcPr>
          <w:p w:rsidRPr="00D06CF7" w:rsidR="005F2DCA" w:rsidP="00C07745" w:rsidRDefault="000C1729" w14:paraId="7C7DF6F2" w14:textId="07125638">
            <w:pPr>
              <w:pStyle w:val="TableParagraph"/>
              <w:spacing w:before="149"/>
              <w:ind w:left="466"/>
              <w:rPr>
                <w:b/>
              </w:rPr>
            </w:pPr>
            <w:r w:rsidRPr="00D06CF7">
              <w:rPr>
                <w:b/>
              </w:rPr>
              <w:t>Procurement Rules</w:t>
            </w:r>
          </w:p>
          <w:p w:rsidRPr="00D06CF7" w:rsidR="005F2DCA" w:rsidP="005F2DCA" w:rsidRDefault="005F2DCA" w14:paraId="7101D87D" w14:textId="35176DB0">
            <w:pPr>
              <w:pStyle w:val="TableParagraph"/>
              <w:spacing w:before="149"/>
              <w:ind w:left="466"/>
              <w:rPr>
                <w:b/>
              </w:rPr>
            </w:pPr>
            <w:r w:rsidRPr="00D06CF7">
              <w:t xml:space="preserve">Information regarding </w:t>
            </w:r>
            <w:r w:rsidRPr="00D06CF7" w:rsidR="000C1729">
              <w:t>the rules that govern the RFP process.</w:t>
            </w:r>
          </w:p>
        </w:tc>
      </w:tr>
      <w:tr w:rsidRPr="00D06CF7" w:rsidR="00134B86" w:rsidTr="0072190B" w14:paraId="1E5E7120" w14:textId="77777777">
        <w:trPr>
          <w:gridAfter w:val="1"/>
          <w:wAfter w:w="7191" w:type="dxa"/>
          <w:trHeight w:val="1139" w:hRule="exact"/>
        </w:trPr>
        <w:tc>
          <w:tcPr>
            <w:tcW w:w="1564" w:type="dxa"/>
            <w:tcBorders>
              <w:top w:val="single" w:color="BEBEBE" w:sz="4" w:space="0"/>
            </w:tcBorders>
          </w:tcPr>
          <w:p w:rsidRPr="00D06CF7" w:rsidR="00134B86" w:rsidP="00134B86" w:rsidRDefault="00134B86" w14:paraId="7026BB04" w14:textId="467809DD">
            <w:pPr>
              <w:pStyle w:val="TableParagraph"/>
              <w:spacing w:before="149"/>
              <w:ind w:left="115"/>
              <w:rPr>
                <w:b/>
              </w:rPr>
            </w:pPr>
            <w:r w:rsidRPr="00D06CF7">
              <w:rPr>
                <w:b/>
              </w:rPr>
              <w:t>Section 4</w:t>
            </w:r>
          </w:p>
        </w:tc>
        <w:tc>
          <w:tcPr>
            <w:tcW w:w="7191" w:type="dxa"/>
            <w:tcBorders>
              <w:top w:val="single" w:color="BEBEBE" w:sz="4" w:space="0"/>
            </w:tcBorders>
          </w:tcPr>
          <w:p w:rsidRPr="00D06CF7" w:rsidR="00134B86" w:rsidP="00134B86" w:rsidRDefault="00DC267A" w14:paraId="2118E6B8" w14:textId="0395AC62">
            <w:pPr>
              <w:pStyle w:val="TableParagraph"/>
              <w:spacing w:before="149"/>
              <w:ind w:left="466"/>
              <w:rPr>
                <w:b/>
              </w:rPr>
            </w:pPr>
            <w:r w:rsidRPr="00D06CF7">
              <w:rPr>
                <w:b/>
              </w:rPr>
              <w:t>Offer Format</w:t>
            </w:r>
          </w:p>
          <w:p w:rsidRPr="00D06CF7" w:rsidR="00134B86" w:rsidP="00134B86" w:rsidRDefault="00134B86" w14:paraId="18E182AA" w14:textId="7A245576">
            <w:pPr>
              <w:pStyle w:val="TableParagraph"/>
              <w:spacing w:before="149"/>
              <w:ind w:left="466"/>
              <w:rPr>
                <w:b/>
              </w:rPr>
            </w:pPr>
            <w:r w:rsidRPr="00D06CF7">
              <w:t xml:space="preserve">Information regarding </w:t>
            </w:r>
            <w:r w:rsidRPr="00D06CF7" w:rsidR="00053A10">
              <w:t xml:space="preserve">the acceptable format of the offer and </w:t>
            </w:r>
            <w:r w:rsidRPr="00D06CF7" w:rsidR="00DC267A">
              <w:t>all required sections.</w:t>
            </w:r>
          </w:p>
        </w:tc>
      </w:tr>
      <w:tr w:rsidRPr="00D06CF7" w:rsidR="000720F6" w:rsidTr="0072190B" w14:paraId="4D1A65E4" w14:textId="77777777">
        <w:trPr>
          <w:gridAfter w:val="1"/>
          <w:wAfter w:w="7191" w:type="dxa"/>
          <w:trHeight w:val="1139" w:hRule="exact"/>
        </w:trPr>
        <w:tc>
          <w:tcPr>
            <w:tcW w:w="1564" w:type="dxa"/>
            <w:tcBorders>
              <w:top w:val="single" w:color="BEBEBE" w:sz="4" w:space="0"/>
            </w:tcBorders>
          </w:tcPr>
          <w:p w:rsidRPr="00D06CF7" w:rsidR="000720F6" w:rsidP="000720F6" w:rsidRDefault="000720F6" w14:paraId="22A57019" w14:textId="0E82AAA4">
            <w:pPr>
              <w:pStyle w:val="TableParagraph"/>
              <w:spacing w:before="149"/>
              <w:ind w:left="115"/>
              <w:rPr>
                <w:b/>
              </w:rPr>
            </w:pPr>
            <w:r w:rsidRPr="00D06CF7">
              <w:rPr>
                <w:b/>
              </w:rPr>
              <w:t>Section 5</w:t>
            </w:r>
          </w:p>
        </w:tc>
        <w:tc>
          <w:tcPr>
            <w:tcW w:w="7191" w:type="dxa"/>
            <w:tcBorders>
              <w:top w:val="single" w:color="BEBEBE" w:sz="4" w:space="0"/>
            </w:tcBorders>
          </w:tcPr>
          <w:p w:rsidRPr="00D06CF7" w:rsidR="000720F6" w:rsidP="000720F6" w:rsidRDefault="00DC267A" w14:paraId="4E765321" w14:textId="73E5EB67">
            <w:pPr>
              <w:pStyle w:val="TableParagraph"/>
              <w:spacing w:before="149"/>
              <w:ind w:left="466"/>
              <w:rPr>
                <w:b/>
              </w:rPr>
            </w:pPr>
            <w:r w:rsidRPr="00D06CF7">
              <w:rPr>
                <w:b/>
              </w:rPr>
              <w:t>Evaluation Criteria &amp; Delivery</w:t>
            </w:r>
            <w:r w:rsidRPr="00D06CF7" w:rsidR="000720F6">
              <w:rPr>
                <w:b/>
              </w:rPr>
              <w:t xml:space="preserve"> Instructions</w:t>
            </w:r>
          </w:p>
          <w:p w:rsidRPr="00D06CF7" w:rsidR="000720F6" w:rsidP="000720F6" w:rsidRDefault="000720F6" w14:paraId="3FCA4088" w14:textId="4859D5CF">
            <w:pPr>
              <w:pStyle w:val="TableParagraph"/>
              <w:spacing w:before="149"/>
              <w:ind w:left="466"/>
              <w:rPr>
                <w:b/>
              </w:rPr>
            </w:pPr>
            <w:r w:rsidRPr="00D06CF7">
              <w:t xml:space="preserve">Information regarding </w:t>
            </w:r>
            <w:r w:rsidRPr="00D06CF7" w:rsidR="00DC267A">
              <w:t>how offers will be scored and delivery instructions.</w:t>
            </w:r>
          </w:p>
        </w:tc>
      </w:tr>
      <w:tr w:rsidRPr="00D06CF7" w:rsidR="000720F6" w:rsidTr="00F6780F" w14:paraId="49D32B58" w14:textId="77777777">
        <w:trPr>
          <w:trHeight w:val="1166" w:hRule="exact"/>
        </w:trPr>
        <w:tc>
          <w:tcPr>
            <w:tcW w:w="1564" w:type="dxa"/>
            <w:tcBorders>
              <w:top w:val="single" w:color="BEBEBE" w:sz="4" w:space="0"/>
            </w:tcBorders>
          </w:tcPr>
          <w:p w:rsidRPr="00D06CF7" w:rsidR="000720F6" w:rsidP="000720F6" w:rsidRDefault="000720F6" w14:paraId="2FA0606A" w14:textId="0A04DF52">
            <w:pPr>
              <w:pStyle w:val="TableParagraph"/>
              <w:spacing w:before="149"/>
              <w:ind w:left="115"/>
              <w:rPr>
                <w:b/>
              </w:rPr>
            </w:pPr>
            <w:r w:rsidRPr="00D06CF7">
              <w:rPr>
                <w:b/>
              </w:rPr>
              <w:t xml:space="preserve">Attachment </w:t>
            </w:r>
            <w:r w:rsidRPr="00D06CF7" w:rsidR="00CA22E2">
              <w:rPr>
                <w:b/>
              </w:rPr>
              <w:t>1</w:t>
            </w:r>
          </w:p>
        </w:tc>
        <w:tc>
          <w:tcPr>
            <w:tcW w:w="7191" w:type="dxa"/>
            <w:tcBorders>
              <w:top w:val="single" w:color="BEBEBE" w:sz="4" w:space="0"/>
            </w:tcBorders>
          </w:tcPr>
          <w:p w:rsidRPr="00D06CF7" w:rsidR="000720F6" w:rsidP="000720F6" w:rsidRDefault="000720F6" w14:paraId="14C90640" w14:textId="65C60953">
            <w:pPr>
              <w:pStyle w:val="TableParagraph"/>
              <w:spacing w:before="149" w:line="247" w:lineRule="exact"/>
              <w:ind w:left="466"/>
              <w:rPr>
                <w:b/>
                <w:bCs/>
              </w:rPr>
            </w:pPr>
            <w:r w:rsidRPr="00D06CF7">
              <w:rPr>
                <w:b/>
                <w:bCs/>
              </w:rPr>
              <w:t>Cost Worksheet</w:t>
            </w:r>
          </w:p>
          <w:p w:rsidRPr="00D06CF7" w:rsidR="000720F6" w:rsidP="000720F6" w:rsidRDefault="000720F6" w14:paraId="041A1E24" w14:textId="1B31FFC2">
            <w:pPr>
              <w:pStyle w:val="TableParagraph"/>
              <w:spacing w:before="149" w:line="247" w:lineRule="exact"/>
              <w:ind w:left="466"/>
            </w:pPr>
            <w:r w:rsidRPr="00D06CF7">
              <w:t xml:space="preserve">Provides </w:t>
            </w:r>
            <w:r w:rsidRPr="00D06CF7" w:rsidR="00CA22E2">
              <w:t xml:space="preserve">an overview of all </w:t>
            </w:r>
            <w:r w:rsidR="001F544F">
              <w:t xml:space="preserve">proposed </w:t>
            </w:r>
            <w:r w:rsidRPr="00D06CF7" w:rsidR="00CA22E2">
              <w:t>deliverables and hourly costs.</w:t>
            </w:r>
          </w:p>
          <w:p w:rsidRPr="00D06CF7" w:rsidR="000720F6" w:rsidP="000720F6" w:rsidRDefault="000720F6" w14:paraId="02C42113" w14:textId="77777777"/>
          <w:p w:rsidRPr="00D06CF7" w:rsidR="000720F6" w:rsidP="000720F6" w:rsidRDefault="000720F6" w14:paraId="52F8C189" w14:textId="77777777"/>
          <w:p w:rsidRPr="00D06CF7" w:rsidR="000720F6" w:rsidP="000720F6" w:rsidRDefault="000720F6" w14:paraId="3870B613" w14:textId="77777777"/>
          <w:p w:rsidRPr="00D06CF7" w:rsidR="000720F6" w:rsidP="000720F6" w:rsidRDefault="000720F6" w14:paraId="12659A62" w14:textId="77777777"/>
          <w:p w:rsidRPr="00D06CF7" w:rsidR="000720F6" w:rsidP="000720F6" w:rsidRDefault="000720F6" w14:paraId="369F9468" w14:textId="5705BE62">
            <w:pPr>
              <w:jc w:val="right"/>
            </w:pPr>
          </w:p>
        </w:tc>
        <w:tc>
          <w:tcPr>
            <w:tcW w:w="7191" w:type="dxa"/>
          </w:tcPr>
          <w:p w:rsidRPr="00D06CF7" w:rsidR="000720F6" w:rsidP="000720F6" w:rsidRDefault="000720F6" w14:paraId="230D21B7" w14:textId="77777777">
            <w:pPr>
              <w:spacing w:before="149" w:line="247" w:lineRule="exact"/>
              <w:ind w:left="466"/>
            </w:pPr>
          </w:p>
        </w:tc>
      </w:tr>
    </w:tbl>
    <w:p w:rsidR="000614D4" w:rsidRDefault="000614D4" w14:paraId="5D9BF54D" w14:textId="77777777">
      <w:pPr>
        <w:sectPr w:rsidR="000614D4" w:rsidSect="0086123C">
          <w:footerReference w:type="default" r:id="rId10"/>
          <w:pgSz w:w="12240" w:h="15840" w:orient="portrait"/>
          <w:pgMar w:top="1220" w:right="860" w:bottom="1280" w:left="860" w:header="819" w:footer="288" w:gutter="0"/>
          <w:cols w:space="720"/>
          <w:docGrid w:linePitch="299"/>
        </w:sectPr>
      </w:pPr>
    </w:p>
    <w:p w:rsidR="000614D4" w:rsidP="00232896" w:rsidRDefault="00232896" w14:paraId="6A481C22" w14:textId="77777777">
      <w:pPr>
        <w:pStyle w:val="Heading2"/>
        <w:numPr>
          <w:ilvl w:val="1"/>
          <w:numId w:val="3"/>
        </w:numPr>
        <w:tabs>
          <w:tab w:val="left" w:pos="1710"/>
          <w:tab w:val="left" w:pos="1800"/>
        </w:tabs>
        <w:ind w:left="1530" w:hanging="835"/>
      </w:pPr>
      <w:bookmarkStart w:name="1.0.5_Contract_Term" w:id="11"/>
      <w:bookmarkStart w:name="_bookmark7" w:id="12"/>
      <w:bookmarkEnd w:id="11"/>
      <w:bookmarkEnd w:id="12"/>
      <w:r>
        <w:lastRenderedPageBreak/>
        <w:t>Contract</w:t>
      </w:r>
      <w:r w:rsidRPr="00134B86">
        <w:t xml:space="preserve"> </w:t>
      </w:r>
      <w:r>
        <w:t>Term</w:t>
      </w:r>
    </w:p>
    <w:p w:rsidR="000614D4" w:rsidRDefault="00232896" w14:paraId="6B6C399D" w14:textId="6819B656">
      <w:pPr>
        <w:pStyle w:val="BodyText"/>
        <w:ind w:left="1588" w:right="289"/>
      </w:pPr>
      <w:bookmarkStart w:name="_Hlk103941944" w:id="13"/>
      <w:r>
        <w:t>The contract term shall begin on the Effective Date as defined in the</w:t>
      </w:r>
      <w:r w:rsidR="00CF430F">
        <w:t xml:space="preserve"> Scope of Work</w:t>
      </w:r>
      <w:r>
        <w:t xml:space="preserve"> and shall end no later than </w:t>
      </w:r>
      <w:r w:rsidR="00CF430F">
        <w:t>December</w:t>
      </w:r>
      <w:r>
        <w:t xml:space="preserve"> 3</w:t>
      </w:r>
      <w:r w:rsidR="00CF430F">
        <w:t>1</w:t>
      </w:r>
      <w:r>
        <w:t>, 2027. AOC may, in its sole and absolute discretion, unilaterally extend the Contract for up to five (5) twelve-month extension periods.</w:t>
      </w:r>
    </w:p>
    <w:bookmarkEnd w:id="13"/>
    <w:p w:rsidR="000614D4" w:rsidRDefault="00B16B3D" w14:paraId="31EB2024" w14:textId="5B6A5DC5">
      <w:pPr>
        <w:pStyle w:val="BodyText"/>
        <w:spacing w:before="0"/>
        <w:rPr>
          <w:sz w:val="21"/>
        </w:rPr>
      </w:pPr>
      <w:r>
        <w:rPr>
          <w:sz w:val="21"/>
        </w:rPr>
        <w:t xml:space="preserve"> </w:t>
      </w:r>
    </w:p>
    <w:p w:rsidR="000614D4" w:rsidP="00232896" w:rsidRDefault="00232896" w14:paraId="243CD255" w14:textId="77777777">
      <w:pPr>
        <w:pStyle w:val="Heading2"/>
        <w:numPr>
          <w:ilvl w:val="1"/>
          <w:numId w:val="3"/>
        </w:numPr>
        <w:tabs>
          <w:tab w:val="left" w:pos="1710"/>
          <w:tab w:val="left" w:pos="1800"/>
        </w:tabs>
        <w:ind w:left="1530" w:hanging="835"/>
      </w:pPr>
      <w:bookmarkStart w:name="1.0.6_Schedule" w:id="14"/>
      <w:bookmarkStart w:name="_bookmark8" w:id="15"/>
      <w:bookmarkEnd w:id="14"/>
      <w:bookmarkEnd w:id="15"/>
      <w:r>
        <w:t>Schedule</w:t>
      </w:r>
    </w:p>
    <w:p w:rsidR="000614D4" w:rsidP="009C0860" w:rsidRDefault="00232896" w14:paraId="2F218C20" w14:textId="5F312022">
      <w:pPr>
        <w:pStyle w:val="BodyText"/>
        <w:ind w:left="1588"/>
      </w:pPr>
      <w:r>
        <w:t>The anticipated schedule of events for this procurement is outlined belo</w:t>
      </w:r>
      <w:r w:rsidR="009C0860">
        <w:t xml:space="preserve">w: </w:t>
      </w:r>
    </w:p>
    <w:p w:rsidR="000614D4" w:rsidRDefault="000614D4" w14:paraId="49090048" w14:textId="77777777">
      <w:pPr>
        <w:pStyle w:val="BodyText"/>
        <w:spacing w:before="2"/>
        <w:rPr>
          <w:b/>
          <w:i/>
          <w:sz w:val="19"/>
        </w:rPr>
      </w:pPr>
    </w:p>
    <w:tbl>
      <w:tblPr>
        <w:tblW w:w="0" w:type="auto"/>
        <w:jc w:val="cente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left w:w="0" w:type="dxa"/>
          <w:right w:w="0" w:type="dxa"/>
        </w:tblCellMar>
        <w:tblLook w:val="01E0" w:firstRow="1" w:lastRow="1" w:firstColumn="1" w:lastColumn="1" w:noHBand="0" w:noVBand="0"/>
      </w:tblPr>
      <w:tblGrid>
        <w:gridCol w:w="3545"/>
        <w:gridCol w:w="2749"/>
      </w:tblGrid>
      <w:tr w:rsidR="004D47BE" w:rsidTr="0993184B" w14:paraId="30A70326" w14:textId="77777777">
        <w:trPr>
          <w:trHeight w:val="319" w:hRule="exact"/>
          <w:jc w:val="center"/>
        </w:trPr>
        <w:tc>
          <w:tcPr>
            <w:tcW w:w="3545" w:type="dxa"/>
            <w:shd w:val="clear" w:color="auto" w:fill="B8CCE4" w:themeFill="accent1" w:themeFillTint="66"/>
            <w:tcMar/>
          </w:tcPr>
          <w:p w:rsidRPr="004D47BE" w:rsidR="004D47BE" w:rsidP="004D47BE" w:rsidRDefault="004D47BE" w14:paraId="4256DFD4" w14:textId="7400939D">
            <w:pPr>
              <w:pStyle w:val="TableParagraph"/>
              <w:spacing w:before="59"/>
              <w:jc w:val="center"/>
              <w:rPr>
                <w:b/>
                <w:bCs/>
                <w:sz w:val="20"/>
              </w:rPr>
            </w:pPr>
            <w:r w:rsidRPr="004D47BE">
              <w:rPr>
                <w:b/>
                <w:bCs/>
                <w:sz w:val="20"/>
              </w:rPr>
              <w:t>Activity</w:t>
            </w:r>
          </w:p>
        </w:tc>
        <w:tc>
          <w:tcPr>
            <w:tcW w:w="2749" w:type="dxa"/>
            <w:shd w:val="clear" w:color="auto" w:fill="B8CCE4" w:themeFill="accent1" w:themeFillTint="66"/>
            <w:tcMar/>
          </w:tcPr>
          <w:p w:rsidRPr="004D47BE" w:rsidR="004D47BE" w:rsidP="004D47BE" w:rsidRDefault="004D47BE" w14:paraId="19D58DA0" w14:textId="3BB0428E">
            <w:pPr>
              <w:pStyle w:val="TableParagraph"/>
              <w:spacing w:before="59"/>
              <w:jc w:val="center"/>
              <w:rPr>
                <w:sz w:val="20"/>
              </w:rPr>
            </w:pPr>
            <w:r w:rsidRPr="004D47BE">
              <w:rPr>
                <w:b/>
                <w:bCs/>
                <w:sz w:val="20"/>
              </w:rPr>
              <w:t>Date/Time</w:t>
            </w:r>
            <w:r w:rsidRPr="004D47BE">
              <w:rPr>
                <w:sz w:val="20"/>
              </w:rPr>
              <w:t xml:space="preserve"> (PST)</w:t>
            </w:r>
          </w:p>
        </w:tc>
      </w:tr>
      <w:tr w:rsidR="000614D4" w:rsidTr="0993184B" w14:paraId="1128D8E9" w14:textId="77777777">
        <w:trPr>
          <w:trHeight w:val="319" w:hRule="exact"/>
          <w:jc w:val="center"/>
        </w:trPr>
        <w:tc>
          <w:tcPr>
            <w:tcW w:w="3545" w:type="dxa"/>
            <w:tcMar/>
          </w:tcPr>
          <w:p w:rsidR="000614D4" w:rsidRDefault="00232896" w14:paraId="134D85A2" w14:textId="77777777">
            <w:pPr>
              <w:pStyle w:val="TableParagraph"/>
              <w:spacing w:before="59"/>
              <w:rPr>
                <w:sz w:val="20"/>
              </w:rPr>
            </w:pPr>
            <w:r>
              <w:rPr>
                <w:sz w:val="20"/>
              </w:rPr>
              <w:t>Publish Solicitation</w:t>
            </w:r>
          </w:p>
        </w:tc>
        <w:tc>
          <w:tcPr>
            <w:tcW w:w="2749" w:type="dxa"/>
            <w:tcMar/>
          </w:tcPr>
          <w:p w:rsidR="000614D4" w:rsidRDefault="00CA22E2" w14:paraId="200C4110" w14:textId="2F183673">
            <w:pPr>
              <w:pStyle w:val="TableParagraph"/>
              <w:spacing w:before="59"/>
              <w:rPr>
                <w:sz w:val="20"/>
              </w:rPr>
            </w:pPr>
            <w:r>
              <w:rPr>
                <w:sz w:val="20"/>
              </w:rPr>
              <w:t>September 15</w:t>
            </w:r>
            <w:r w:rsidR="00232896">
              <w:rPr>
                <w:sz w:val="20"/>
              </w:rPr>
              <w:t>, 2022</w:t>
            </w:r>
          </w:p>
        </w:tc>
      </w:tr>
      <w:tr w:rsidR="000614D4" w:rsidTr="0993184B" w14:paraId="38CDBCD5" w14:textId="77777777">
        <w:trPr>
          <w:trHeight w:val="319" w:hRule="exact"/>
          <w:jc w:val="center"/>
        </w:trPr>
        <w:tc>
          <w:tcPr>
            <w:tcW w:w="3545" w:type="dxa"/>
            <w:tcMar/>
          </w:tcPr>
          <w:p w:rsidR="000614D4" w:rsidRDefault="00232896" w14:paraId="586D9396" w14:textId="77777777">
            <w:pPr>
              <w:pStyle w:val="TableParagraph"/>
              <w:spacing w:before="59"/>
              <w:rPr>
                <w:sz w:val="20"/>
              </w:rPr>
            </w:pPr>
            <w:r>
              <w:rPr>
                <w:sz w:val="20"/>
              </w:rPr>
              <w:t>Deadline for Submission of Questions</w:t>
            </w:r>
          </w:p>
        </w:tc>
        <w:tc>
          <w:tcPr>
            <w:tcW w:w="2749" w:type="dxa"/>
            <w:tcMar/>
          </w:tcPr>
          <w:p w:rsidR="000614D4" w:rsidRDefault="00CA22E2" w14:paraId="7EC3CE49" w14:textId="39253272">
            <w:pPr>
              <w:pStyle w:val="TableParagraph"/>
              <w:tabs>
                <w:tab w:val="left" w:pos="1881"/>
              </w:tabs>
              <w:spacing w:before="59"/>
              <w:rPr>
                <w:sz w:val="20"/>
              </w:rPr>
            </w:pPr>
            <w:r>
              <w:rPr>
                <w:sz w:val="20"/>
              </w:rPr>
              <w:t>September 22</w:t>
            </w:r>
            <w:r w:rsidR="00232896">
              <w:rPr>
                <w:sz w:val="20"/>
              </w:rPr>
              <w:t>,</w:t>
            </w:r>
            <w:r w:rsidR="00232896">
              <w:rPr>
                <w:spacing w:val="-3"/>
                <w:sz w:val="20"/>
              </w:rPr>
              <w:t xml:space="preserve"> </w:t>
            </w:r>
            <w:r w:rsidR="00232896">
              <w:rPr>
                <w:sz w:val="20"/>
              </w:rPr>
              <w:t>2022</w:t>
            </w:r>
            <w:r w:rsidR="004D47BE">
              <w:rPr>
                <w:sz w:val="20"/>
              </w:rPr>
              <w:t xml:space="preserve"> @ 3PM</w:t>
            </w:r>
          </w:p>
        </w:tc>
      </w:tr>
      <w:tr w:rsidR="000614D4" w:rsidTr="0993184B" w14:paraId="66DAB456" w14:textId="77777777">
        <w:trPr>
          <w:trHeight w:val="319" w:hRule="exact"/>
          <w:jc w:val="center"/>
        </w:trPr>
        <w:tc>
          <w:tcPr>
            <w:tcW w:w="3545" w:type="dxa"/>
            <w:tcMar/>
          </w:tcPr>
          <w:p w:rsidR="000614D4" w:rsidRDefault="00232896" w14:paraId="47D20A06" w14:textId="77777777">
            <w:pPr>
              <w:pStyle w:val="TableParagraph"/>
              <w:spacing w:before="59"/>
              <w:rPr>
                <w:sz w:val="20"/>
              </w:rPr>
            </w:pPr>
            <w:r>
              <w:rPr>
                <w:sz w:val="20"/>
              </w:rPr>
              <w:t>Deadline for Submission of Offers</w:t>
            </w:r>
          </w:p>
        </w:tc>
        <w:tc>
          <w:tcPr>
            <w:tcW w:w="2749" w:type="dxa"/>
            <w:tcMar/>
          </w:tcPr>
          <w:p w:rsidR="000614D4" w:rsidRDefault="00CA22E2" w14:paraId="5FD76F6E" w14:textId="592025A1">
            <w:pPr>
              <w:pStyle w:val="TableParagraph"/>
              <w:tabs>
                <w:tab w:val="left" w:pos="1891"/>
              </w:tabs>
              <w:spacing w:before="59"/>
              <w:rPr>
                <w:sz w:val="20"/>
              </w:rPr>
            </w:pPr>
            <w:r>
              <w:rPr>
                <w:sz w:val="20"/>
              </w:rPr>
              <w:t>October</w:t>
            </w:r>
            <w:r w:rsidR="004D47BE">
              <w:rPr>
                <w:sz w:val="20"/>
              </w:rPr>
              <w:t xml:space="preserve"> </w:t>
            </w:r>
            <w:r>
              <w:rPr>
                <w:sz w:val="20"/>
              </w:rPr>
              <w:t>6</w:t>
            </w:r>
            <w:r w:rsidR="004D47BE">
              <w:rPr>
                <w:sz w:val="20"/>
              </w:rPr>
              <w:t>, 2022 @ 3PM</w:t>
            </w:r>
          </w:p>
        </w:tc>
      </w:tr>
      <w:tr w:rsidR="000614D4" w:rsidTr="0993184B" w14:paraId="6531EEE7" w14:textId="77777777">
        <w:trPr>
          <w:trHeight w:val="322" w:hRule="exact"/>
          <w:jc w:val="center"/>
        </w:trPr>
        <w:tc>
          <w:tcPr>
            <w:tcW w:w="3545" w:type="dxa"/>
            <w:tcMar/>
          </w:tcPr>
          <w:p w:rsidR="000614D4" w:rsidRDefault="00232896" w14:paraId="6F453E3A" w14:textId="1414BFB5">
            <w:pPr>
              <w:pStyle w:val="TableParagraph"/>
              <w:spacing w:before="62"/>
              <w:rPr>
                <w:sz w:val="20"/>
              </w:rPr>
            </w:pPr>
            <w:r>
              <w:rPr>
                <w:sz w:val="20"/>
              </w:rPr>
              <w:t xml:space="preserve">Offeror </w:t>
            </w:r>
            <w:r w:rsidR="00F61268">
              <w:rPr>
                <w:sz w:val="20"/>
              </w:rPr>
              <w:t>Interview</w:t>
            </w:r>
            <w:r>
              <w:rPr>
                <w:sz w:val="20"/>
              </w:rPr>
              <w:t>s, if requested</w:t>
            </w:r>
          </w:p>
        </w:tc>
        <w:tc>
          <w:tcPr>
            <w:tcW w:w="2749" w:type="dxa"/>
            <w:tcMar/>
          </w:tcPr>
          <w:p w:rsidR="000614D4" w:rsidP="0993184B" w:rsidRDefault="00F61268" w14:paraId="4E7121FE" w14:textId="108A729C">
            <w:pPr>
              <w:pStyle w:val="TableParagraph"/>
              <w:spacing w:before="62"/>
              <w:rPr>
                <w:sz w:val="20"/>
                <w:szCs w:val="20"/>
              </w:rPr>
            </w:pPr>
            <w:r w:rsidRPr="0993184B" w:rsidR="5DFE826B">
              <w:rPr>
                <w:sz w:val="20"/>
                <w:szCs w:val="20"/>
              </w:rPr>
              <w:t>October 10</w:t>
            </w:r>
            <w:r w:rsidRPr="0993184B" w:rsidR="00232896">
              <w:rPr>
                <w:sz w:val="20"/>
                <w:szCs w:val="20"/>
              </w:rPr>
              <w:t xml:space="preserve"> - </w:t>
            </w:r>
            <w:r w:rsidRPr="0993184B" w:rsidR="5DFE826B">
              <w:rPr>
                <w:sz w:val="20"/>
                <w:szCs w:val="20"/>
              </w:rPr>
              <w:t>1</w:t>
            </w:r>
            <w:r w:rsidRPr="0993184B" w:rsidR="1D60975A">
              <w:rPr>
                <w:sz w:val="20"/>
                <w:szCs w:val="20"/>
              </w:rPr>
              <w:t>4</w:t>
            </w:r>
            <w:r w:rsidRPr="0993184B" w:rsidR="00232896">
              <w:rPr>
                <w:sz w:val="20"/>
                <w:szCs w:val="20"/>
              </w:rPr>
              <w:t>, 2022</w:t>
            </w:r>
          </w:p>
        </w:tc>
      </w:tr>
      <w:tr w:rsidR="000614D4" w:rsidTr="0993184B" w14:paraId="09A04EA7" w14:textId="77777777">
        <w:trPr>
          <w:trHeight w:val="319" w:hRule="exact"/>
          <w:jc w:val="center"/>
        </w:trPr>
        <w:tc>
          <w:tcPr>
            <w:tcW w:w="3545" w:type="dxa"/>
            <w:tcMar/>
          </w:tcPr>
          <w:p w:rsidR="000614D4" w:rsidRDefault="00232896" w14:paraId="2D7EBFAE" w14:textId="77777777">
            <w:pPr>
              <w:pStyle w:val="TableParagraph"/>
              <w:spacing w:before="59"/>
              <w:rPr>
                <w:sz w:val="20"/>
              </w:rPr>
            </w:pPr>
            <w:r>
              <w:rPr>
                <w:sz w:val="20"/>
              </w:rPr>
              <w:t>Contract Negotiations</w:t>
            </w:r>
          </w:p>
        </w:tc>
        <w:tc>
          <w:tcPr>
            <w:tcW w:w="2749" w:type="dxa"/>
            <w:tcMar/>
          </w:tcPr>
          <w:p w:rsidR="000614D4" w:rsidP="0993184B" w:rsidRDefault="00F61268" w14:paraId="728C40D6" w14:textId="66D19142">
            <w:pPr>
              <w:pStyle w:val="TableParagraph"/>
              <w:spacing w:before="59"/>
              <w:rPr>
                <w:sz w:val="20"/>
                <w:szCs w:val="20"/>
              </w:rPr>
            </w:pPr>
            <w:r w:rsidRPr="0993184B" w:rsidR="5DFE826B">
              <w:rPr>
                <w:sz w:val="20"/>
                <w:szCs w:val="20"/>
              </w:rPr>
              <w:t>October</w:t>
            </w:r>
            <w:r w:rsidRPr="0993184B" w:rsidR="00232896">
              <w:rPr>
                <w:sz w:val="20"/>
                <w:szCs w:val="20"/>
              </w:rPr>
              <w:t xml:space="preserve"> </w:t>
            </w:r>
            <w:r w:rsidRPr="0993184B" w:rsidR="5DFE826B">
              <w:rPr>
                <w:sz w:val="20"/>
                <w:szCs w:val="20"/>
              </w:rPr>
              <w:t>1</w:t>
            </w:r>
            <w:r w:rsidRPr="0993184B" w:rsidR="24007D2B">
              <w:rPr>
                <w:sz w:val="20"/>
                <w:szCs w:val="20"/>
              </w:rPr>
              <w:t>7</w:t>
            </w:r>
            <w:r w:rsidRPr="0993184B" w:rsidR="5DFE826B">
              <w:rPr>
                <w:sz w:val="20"/>
                <w:szCs w:val="20"/>
              </w:rPr>
              <w:t xml:space="preserve"> - </w:t>
            </w:r>
            <w:r w:rsidRPr="0993184B" w:rsidR="42150262">
              <w:rPr>
                <w:sz w:val="20"/>
                <w:szCs w:val="20"/>
              </w:rPr>
              <w:t>21</w:t>
            </w:r>
            <w:r w:rsidRPr="0993184B" w:rsidR="5DFE826B">
              <w:rPr>
                <w:sz w:val="20"/>
                <w:szCs w:val="20"/>
              </w:rPr>
              <w:t xml:space="preserve"> </w:t>
            </w:r>
            <w:r w:rsidRPr="0993184B" w:rsidR="00232896">
              <w:rPr>
                <w:sz w:val="20"/>
                <w:szCs w:val="20"/>
              </w:rPr>
              <w:t>2022</w:t>
            </w:r>
          </w:p>
        </w:tc>
      </w:tr>
      <w:tr w:rsidR="000614D4" w:rsidTr="0993184B" w14:paraId="05F2864D" w14:textId="77777777">
        <w:trPr>
          <w:trHeight w:val="322" w:hRule="exact"/>
          <w:jc w:val="center"/>
        </w:trPr>
        <w:tc>
          <w:tcPr>
            <w:tcW w:w="3545" w:type="dxa"/>
            <w:tcMar/>
          </w:tcPr>
          <w:p w:rsidR="000614D4" w:rsidRDefault="00232896" w14:paraId="65F60859" w14:textId="77777777">
            <w:pPr>
              <w:pStyle w:val="TableParagraph"/>
              <w:spacing w:before="59"/>
              <w:rPr>
                <w:b/>
                <w:sz w:val="20"/>
              </w:rPr>
            </w:pPr>
            <w:r>
              <w:rPr>
                <w:b/>
                <w:sz w:val="20"/>
              </w:rPr>
              <w:t>Expected Award of Contract</w:t>
            </w:r>
          </w:p>
        </w:tc>
        <w:tc>
          <w:tcPr>
            <w:tcW w:w="2749" w:type="dxa"/>
            <w:tcMar/>
          </w:tcPr>
          <w:p w:rsidR="000614D4" w:rsidP="0993184B" w:rsidRDefault="00F61268" w14:paraId="2AAB3A91" w14:textId="6FBED1AC">
            <w:pPr>
              <w:pStyle w:val="TableParagraph"/>
              <w:spacing w:before="59"/>
              <w:rPr>
                <w:b w:val="1"/>
                <w:bCs w:val="1"/>
                <w:sz w:val="20"/>
                <w:szCs w:val="20"/>
              </w:rPr>
            </w:pPr>
            <w:r w:rsidRPr="0993184B" w:rsidR="6763E7A9">
              <w:rPr>
                <w:b w:val="1"/>
                <w:bCs w:val="1"/>
                <w:sz w:val="20"/>
                <w:szCs w:val="20"/>
              </w:rPr>
              <w:t>Late October</w:t>
            </w:r>
            <w:r w:rsidRPr="0993184B" w:rsidR="00232896">
              <w:rPr>
                <w:b w:val="1"/>
                <w:bCs w:val="1"/>
                <w:sz w:val="20"/>
                <w:szCs w:val="20"/>
              </w:rPr>
              <w:t xml:space="preserve"> 2022</w:t>
            </w:r>
          </w:p>
        </w:tc>
      </w:tr>
    </w:tbl>
    <w:p w:rsidR="000614D4" w:rsidRDefault="000614D4" w14:paraId="4416DF3C" w14:textId="77777777">
      <w:pPr>
        <w:pStyle w:val="BodyText"/>
        <w:spacing w:before="0"/>
        <w:rPr>
          <w:b/>
          <w:i/>
          <w:sz w:val="20"/>
        </w:rPr>
      </w:pPr>
    </w:p>
    <w:p w:rsidR="000614D4" w:rsidRDefault="00232896" w14:paraId="6A9EE4FD" w14:textId="3F138B4B">
      <w:pPr>
        <w:pStyle w:val="BodyText"/>
        <w:spacing w:before="0"/>
        <w:ind w:left="1587" w:right="340"/>
      </w:pPr>
      <w:r>
        <w:t xml:space="preserve">AOC reserves the right, </w:t>
      </w:r>
      <w:r w:rsidR="001C13C4">
        <w:t xml:space="preserve">with the consensus of all prospective Offerors </w:t>
      </w:r>
      <w:r>
        <w:t>to change the dates in the Anticipated Procurement Event Schedule</w:t>
      </w:r>
      <w:r w:rsidR="001C13C4">
        <w:t>.</w:t>
      </w:r>
    </w:p>
    <w:p w:rsidR="00603896" w:rsidRDefault="00603896" w14:paraId="49B9BD3D" w14:textId="759D9FA7">
      <w:pPr>
        <w:pStyle w:val="BodyText"/>
        <w:spacing w:before="0"/>
        <w:ind w:left="1587" w:right="340"/>
      </w:pPr>
    </w:p>
    <w:p w:rsidR="00603896" w:rsidP="00232896" w:rsidRDefault="00603896" w14:paraId="74F32296" w14:textId="77777777">
      <w:pPr>
        <w:pStyle w:val="Heading2"/>
        <w:numPr>
          <w:ilvl w:val="1"/>
          <w:numId w:val="3"/>
        </w:numPr>
        <w:tabs>
          <w:tab w:val="left" w:pos="1710"/>
          <w:tab w:val="left" w:pos="1800"/>
        </w:tabs>
        <w:ind w:left="1530" w:hanging="835"/>
      </w:pPr>
      <w:r>
        <w:t>Designated</w:t>
      </w:r>
      <w:r w:rsidRPr="00134B86">
        <w:t xml:space="preserve"> </w:t>
      </w:r>
      <w:r>
        <w:t>Contact</w:t>
      </w:r>
    </w:p>
    <w:p w:rsidR="00603896" w:rsidP="00603896" w:rsidRDefault="00603896" w14:paraId="2E82CABB" w14:textId="77777777">
      <w:pPr>
        <w:pStyle w:val="BodyText"/>
        <w:ind w:left="1588" w:right="866" w:hanging="1"/>
      </w:pPr>
      <w:r>
        <w:t xml:space="preserve">Any notice or communication require by this RFP is to be sent via email to AOC’s Designated Contact. AOC’s Designated Contact for this procurement is Justin Bell, </w:t>
      </w:r>
      <w:hyperlink r:id="rId11">
        <w:r>
          <w:t>contracts@nvcourts.nv.gov.</w:t>
        </w:r>
      </w:hyperlink>
    </w:p>
    <w:p w:rsidR="00603896" w:rsidP="00603896" w:rsidRDefault="00603896" w14:paraId="6AA833AF" w14:textId="77777777">
      <w:pPr>
        <w:pStyle w:val="BodyText"/>
        <w:spacing w:before="9"/>
        <w:rPr>
          <w:sz w:val="20"/>
        </w:rPr>
      </w:pPr>
    </w:p>
    <w:p w:rsidR="00603896" w:rsidP="00232896" w:rsidRDefault="00603896" w14:paraId="51D3B2EA" w14:textId="77777777">
      <w:pPr>
        <w:pStyle w:val="Heading2"/>
        <w:numPr>
          <w:ilvl w:val="1"/>
          <w:numId w:val="3"/>
        </w:numPr>
        <w:tabs>
          <w:tab w:val="left" w:pos="1710"/>
          <w:tab w:val="left" w:pos="1800"/>
        </w:tabs>
        <w:ind w:left="1530" w:hanging="835"/>
      </w:pPr>
      <w:bookmarkStart w:name="1.1.2_Obtaining_Copies_of_the_RFP" w:id="16"/>
      <w:bookmarkStart w:name="_bookmark11" w:id="17"/>
      <w:bookmarkEnd w:id="16"/>
      <w:bookmarkEnd w:id="17"/>
      <w:r>
        <w:t>Obtaining Copies of the</w:t>
      </w:r>
      <w:r w:rsidRPr="00134B86">
        <w:t xml:space="preserve"> </w:t>
      </w:r>
      <w:r>
        <w:t>RFP</w:t>
      </w:r>
    </w:p>
    <w:p w:rsidR="00603896" w:rsidP="00603896" w:rsidRDefault="00603896" w14:paraId="41839BE4" w14:textId="77777777">
      <w:pPr>
        <w:pStyle w:val="BodyText"/>
        <w:ind w:left="1588" w:right="303"/>
      </w:pPr>
      <w:r>
        <w:t xml:space="preserve">This RFP and any addenda are available in electronic format only on the </w:t>
      </w:r>
      <w:hyperlink r:id="rId12">
        <w:r>
          <w:rPr>
            <w:color w:val="0000FF"/>
            <w:u w:val="single" w:color="0000FF"/>
          </w:rPr>
          <w:t>AOC</w:t>
        </w:r>
      </w:hyperlink>
      <w:r>
        <w:rPr>
          <w:color w:val="0000FF"/>
          <w:u w:val="single" w:color="0000FF"/>
        </w:rPr>
        <w:t xml:space="preserve"> </w:t>
      </w:r>
      <w:r>
        <w:t>procurement webpage. Offerors with a disability may receive accommodation regarding the means of participating in the procurement process. For more information, contact the Designated Contact immediately.</w:t>
      </w:r>
    </w:p>
    <w:p w:rsidR="00603896" w:rsidP="00603896" w:rsidRDefault="00603896" w14:paraId="71004E58" w14:textId="77777777">
      <w:pPr>
        <w:pStyle w:val="BodyText"/>
        <w:spacing w:before="0"/>
        <w:rPr>
          <w:sz w:val="21"/>
        </w:rPr>
      </w:pPr>
    </w:p>
    <w:p w:rsidR="00603896" w:rsidP="00232896" w:rsidRDefault="00603896" w14:paraId="33CA81FA" w14:textId="77777777">
      <w:pPr>
        <w:pStyle w:val="Heading2"/>
        <w:numPr>
          <w:ilvl w:val="1"/>
          <w:numId w:val="3"/>
        </w:numPr>
        <w:tabs>
          <w:tab w:val="left" w:pos="1710"/>
          <w:tab w:val="left" w:pos="1800"/>
        </w:tabs>
        <w:ind w:left="1530" w:hanging="835"/>
      </w:pPr>
      <w:bookmarkStart w:name="1.1.3_Offeror_Questions" w:id="18"/>
      <w:bookmarkStart w:name="_bookmark12" w:id="19"/>
      <w:bookmarkEnd w:id="18"/>
      <w:bookmarkEnd w:id="19"/>
      <w:r>
        <w:t>Offeror</w:t>
      </w:r>
      <w:r w:rsidRPr="00134B86">
        <w:t xml:space="preserve"> </w:t>
      </w:r>
      <w:r>
        <w:t>Questions</w:t>
      </w:r>
    </w:p>
    <w:p w:rsidR="000E5FFC" w:rsidP="000E5FFC" w:rsidRDefault="00603896" w14:paraId="65E7D4A8" w14:textId="699F423D">
      <w:pPr>
        <w:pStyle w:val="BodyText"/>
        <w:ind w:left="1588" w:right="241"/>
      </w:pPr>
      <w:r>
        <w:t>All questions must be submitted by email</w:t>
      </w:r>
      <w:r w:rsidR="00216ECE">
        <w:t>, on the date and time specified in the Anticipated Procurement Event Schedule,</w:t>
      </w:r>
      <w:r>
        <w:t xml:space="preserve"> to the AOC Designated Contact. </w:t>
      </w:r>
    </w:p>
    <w:p w:rsidR="00603896" w:rsidP="004729FE" w:rsidRDefault="00603896" w14:paraId="4F99CC38" w14:textId="008E6F1F">
      <w:pPr>
        <w:pStyle w:val="BodyText"/>
        <w:ind w:left="1588" w:right="241"/>
      </w:pPr>
      <w:r>
        <w:t xml:space="preserve">A final compilation of all questions and answers will be posted to </w:t>
      </w:r>
      <w:r w:rsidR="004729FE">
        <w:t xml:space="preserve">the </w:t>
      </w:r>
      <w:r>
        <w:t>AOC procurement webpage within five days after the Deadline for Submission of Questions.</w:t>
      </w:r>
    </w:p>
    <w:p w:rsidR="00603896" w:rsidRDefault="00603896" w14:paraId="58B5AABC" w14:textId="4C63E163">
      <w:pPr>
        <w:pStyle w:val="BodyText"/>
        <w:spacing w:before="0"/>
        <w:ind w:left="1587" w:right="340"/>
      </w:pPr>
    </w:p>
    <w:p w:rsidR="000C1729" w:rsidP="000B4EFB" w:rsidRDefault="000B4EFB" w14:paraId="16B94190" w14:textId="5C14FD5D">
      <w:pPr>
        <w:pStyle w:val="BodyText"/>
        <w:spacing w:before="0"/>
        <w:ind w:right="340"/>
      </w:pPr>
      <w:r>
        <w:br w:type="page"/>
      </w:r>
    </w:p>
    <w:p w:rsidRPr="0072190B" w:rsidR="00BB63BA" w:rsidP="00BB63BA" w:rsidRDefault="00BB63BA" w14:paraId="0210AC2D" w14:textId="431FF462">
      <w:pPr>
        <w:pStyle w:val="Heading1"/>
        <w:tabs>
          <w:tab w:val="left" w:pos="2307"/>
        </w:tabs>
        <w:spacing w:before="0"/>
      </w:pPr>
      <w:bookmarkStart w:name="1.1_Procurement_Rules" w:id="20"/>
      <w:bookmarkStart w:name="_bookmark9" w:id="21"/>
      <w:bookmarkStart w:name="1.1.1_Designated_Contact" w:id="22"/>
      <w:bookmarkStart w:name="_bookmark10" w:id="23"/>
      <w:bookmarkStart w:name="1.1.4_Contact_with_Procurement_Team_Memb" w:id="24"/>
      <w:bookmarkStart w:name="_bookmark13" w:id="25"/>
      <w:bookmarkEnd w:id="20"/>
      <w:bookmarkEnd w:id="21"/>
      <w:bookmarkEnd w:id="22"/>
      <w:bookmarkEnd w:id="23"/>
      <w:bookmarkEnd w:id="24"/>
      <w:bookmarkEnd w:id="25"/>
      <w:r w:rsidRPr="000E1F28">
        <w:lastRenderedPageBreak/>
        <w:t xml:space="preserve">Section </w:t>
      </w:r>
      <w:r>
        <w:t>3</w:t>
      </w:r>
      <w:r w:rsidRPr="000E1F28">
        <w:t xml:space="preserve">. </w:t>
      </w:r>
      <w:r>
        <w:t>Procurement Rules</w:t>
      </w:r>
    </w:p>
    <w:p w:rsidR="000614D4" w:rsidP="00232896" w:rsidRDefault="00232896" w14:paraId="0D0DDBC2" w14:textId="77777777">
      <w:pPr>
        <w:pStyle w:val="Heading2"/>
        <w:numPr>
          <w:ilvl w:val="1"/>
          <w:numId w:val="4"/>
        </w:numPr>
        <w:tabs>
          <w:tab w:val="left" w:pos="1710"/>
          <w:tab w:val="left" w:pos="1800"/>
        </w:tabs>
        <w:spacing w:before="120"/>
        <w:ind w:left="1526" w:hanging="835"/>
      </w:pPr>
      <w:r>
        <w:t>Contact with Procurement Team</w:t>
      </w:r>
      <w:r w:rsidRPr="004729FE">
        <w:t xml:space="preserve"> </w:t>
      </w:r>
      <w:r>
        <w:t>Members</w:t>
      </w:r>
    </w:p>
    <w:p w:rsidR="000614D4" w:rsidRDefault="00232896" w14:paraId="67B45360" w14:textId="77777777">
      <w:pPr>
        <w:pStyle w:val="BodyText"/>
        <w:ind w:left="1587" w:right="634"/>
      </w:pPr>
      <w:r>
        <w:t>Other than AOC’s Designated Contact, a prospective Offeror may not directly contact anyone involved in this procurement process to discuss this RFP. Doing so risks elimination of the Offeror from further consideration.</w:t>
      </w:r>
    </w:p>
    <w:p w:rsidR="000614D4" w:rsidRDefault="00232896" w14:paraId="0BEF8908" w14:textId="6E884196">
      <w:pPr>
        <w:pStyle w:val="BodyText"/>
        <w:ind w:left="1587" w:right="169"/>
      </w:pPr>
      <w:r>
        <w:t xml:space="preserve">Prospective Offerors currently doing business with any Nevada court may continue </w:t>
      </w:r>
      <w:r w:rsidR="004729FE">
        <w:t xml:space="preserve">regular business contact, but </w:t>
      </w:r>
      <w:r>
        <w:t>such contact but may not discuss this RFP</w:t>
      </w:r>
      <w:r w:rsidR="004729FE">
        <w:t>.</w:t>
      </w:r>
      <w:r>
        <w:t xml:space="preserve"> </w:t>
      </w:r>
    </w:p>
    <w:p w:rsidR="000614D4" w:rsidRDefault="000614D4" w14:paraId="7F68B4BF" w14:textId="77777777">
      <w:pPr>
        <w:pStyle w:val="BodyText"/>
        <w:spacing w:before="0"/>
        <w:rPr>
          <w:sz w:val="21"/>
        </w:rPr>
      </w:pPr>
    </w:p>
    <w:p w:rsidR="000614D4" w:rsidP="00232896" w:rsidRDefault="00155BAC" w14:paraId="6EEAF01B" w14:textId="49139C55">
      <w:pPr>
        <w:pStyle w:val="Heading2"/>
        <w:numPr>
          <w:ilvl w:val="1"/>
          <w:numId w:val="4"/>
        </w:numPr>
        <w:tabs>
          <w:tab w:val="left" w:pos="1710"/>
          <w:tab w:val="left" w:pos="1800"/>
        </w:tabs>
        <w:ind w:left="1530" w:hanging="835"/>
      </w:pPr>
      <w:bookmarkStart w:name="1.1.5_No_Late_Offers" w:id="26"/>
      <w:bookmarkStart w:name="_bookmark14" w:id="27"/>
      <w:bookmarkEnd w:id="26"/>
      <w:bookmarkEnd w:id="27"/>
      <w:r>
        <w:t>Rejected</w:t>
      </w:r>
      <w:r w:rsidRPr="004729FE" w:rsidR="00232896">
        <w:t xml:space="preserve"> </w:t>
      </w:r>
      <w:r w:rsidR="00232896">
        <w:t>Offers</w:t>
      </w:r>
    </w:p>
    <w:p w:rsidR="000614D4" w:rsidP="00C2294A" w:rsidRDefault="00232896" w14:paraId="39CF1A98" w14:textId="3212791D">
      <w:pPr>
        <w:pStyle w:val="BodyText"/>
        <w:ind w:left="1588"/>
      </w:pPr>
      <w:r>
        <w:t>Offers received after the date and time specified per the Deadline for Submission of Offers in the Anticipated Procurement Event Schedule will be rejected.</w:t>
      </w:r>
      <w:bookmarkStart w:name="1.1.6_Non-Conforming_Offers" w:id="28"/>
      <w:bookmarkStart w:name="_bookmark15" w:id="29"/>
      <w:bookmarkEnd w:id="28"/>
      <w:bookmarkEnd w:id="29"/>
      <w:r w:rsidRPr="00C2294A" w:rsidR="00C2294A">
        <w:t xml:space="preserve"> </w:t>
      </w:r>
      <w:r w:rsidR="00C2294A">
        <w:t>AOC will not consider any offer that bears a copyright.</w:t>
      </w:r>
    </w:p>
    <w:p w:rsidR="000614D4" w:rsidRDefault="00232896" w14:paraId="6D445FB1" w14:textId="77777777">
      <w:pPr>
        <w:pStyle w:val="BodyText"/>
        <w:ind w:left="1588" w:right="206" w:hanging="1"/>
      </w:pPr>
      <w:r>
        <w:t>Non-conforming offers will not be considered. Non-conforming offers are defined as those that do not meet the requirements of this RFP, including the format for the response.</w:t>
      </w:r>
    </w:p>
    <w:p w:rsidR="000614D4" w:rsidRDefault="000614D4" w14:paraId="7318041B" w14:textId="77777777">
      <w:pPr>
        <w:pStyle w:val="BodyText"/>
        <w:spacing w:before="0"/>
        <w:rPr>
          <w:sz w:val="21"/>
        </w:rPr>
      </w:pPr>
    </w:p>
    <w:p w:rsidR="000614D4" w:rsidP="00232896" w:rsidRDefault="00232896" w14:paraId="7B6274EB" w14:textId="77777777">
      <w:pPr>
        <w:pStyle w:val="Heading2"/>
        <w:numPr>
          <w:ilvl w:val="1"/>
          <w:numId w:val="4"/>
        </w:numPr>
        <w:tabs>
          <w:tab w:val="left" w:pos="1710"/>
          <w:tab w:val="left" w:pos="1800"/>
        </w:tabs>
        <w:ind w:left="1530" w:hanging="835"/>
      </w:pPr>
      <w:bookmarkStart w:name="1.1.7_Cost_of_Preparation_of_Offer" w:id="30"/>
      <w:bookmarkStart w:name="_bookmark16" w:id="31"/>
      <w:bookmarkEnd w:id="30"/>
      <w:bookmarkEnd w:id="31"/>
      <w:r>
        <w:t>Cost of Preparation of</w:t>
      </w:r>
      <w:r w:rsidRPr="004729FE">
        <w:t xml:space="preserve"> </w:t>
      </w:r>
      <w:r>
        <w:t>Offer</w:t>
      </w:r>
    </w:p>
    <w:p w:rsidR="000614D4" w:rsidP="00C2294A" w:rsidRDefault="00232896" w14:paraId="5FBFFF69" w14:textId="590FF848">
      <w:pPr>
        <w:pStyle w:val="BodyText"/>
        <w:ind w:left="1588" w:right="329" w:hanging="1"/>
      </w:pPr>
      <w:r>
        <w:t>Offerors are responsible for their own costs to participate in this solicitation. AOC will not pay any costs incurred by any Offeror for any aspect of responding to this solicitation.</w:t>
      </w:r>
      <w:bookmarkStart w:name="1.1.8_No_Copyrights" w:id="32"/>
      <w:bookmarkStart w:name="_bookmark17" w:id="33"/>
      <w:bookmarkEnd w:id="32"/>
      <w:bookmarkEnd w:id="33"/>
    </w:p>
    <w:p w:rsidR="000614D4" w:rsidRDefault="000614D4" w14:paraId="61672533" w14:textId="77777777">
      <w:pPr>
        <w:pStyle w:val="BodyText"/>
        <w:spacing w:before="9"/>
        <w:rPr>
          <w:sz w:val="20"/>
        </w:rPr>
      </w:pPr>
    </w:p>
    <w:p w:rsidR="000614D4" w:rsidP="00232896" w:rsidRDefault="00232896" w14:paraId="4D0AFBF4" w14:textId="77777777">
      <w:pPr>
        <w:pStyle w:val="Heading2"/>
        <w:numPr>
          <w:ilvl w:val="1"/>
          <w:numId w:val="4"/>
        </w:numPr>
        <w:tabs>
          <w:tab w:val="left" w:pos="1710"/>
          <w:tab w:val="left" w:pos="1800"/>
        </w:tabs>
        <w:ind w:left="1530" w:hanging="835"/>
      </w:pPr>
      <w:bookmarkStart w:name="1.1.9_Concise_Offers" w:id="34"/>
      <w:bookmarkStart w:name="_bookmark18" w:id="35"/>
      <w:bookmarkEnd w:id="34"/>
      <w:bookmarkEnd w:id="35"/>
      <w:r>
        <w:t>Concise</w:t>
      </w:r>
      <w:r w:rsidRPr="004729FE">
        <w:t xml:space="preserve"> </w:t>
      </w:r>
      <w:r>
        <w:t>Offers</w:t>
      </w:r>
    </w:p>
    <w:p w:rsidR="000614D4" w:rsidRDefault="00232896" w14:paraId="3970A518" w14:textId="0BF469E9">
      <w:pPr>
        <w:pStyle w:val="BodyText"/>
        <w:ind w:left="1588" w:right="143"/>
      </w:pPr>
      <w:r>
        <w:t xml:space="preserve">AOC desires thorough, concise, and responsive offers and discourages overly lengthy responses, elaborate </w:t>
      </w:r>
      <w:proofErr w:type="gramStart"/>
      <w:r>
        <w:t>brochures</w:t>
      </w:r>
      <w:proofErr w:type="gramEnd"/>
      <w:r>
        <w:t xml:space="preserve"> or other promotional materials</w:t>
      </w:r>
      <w:r w:rsidR="00626096">
        <w:t>.</w:t>
      </w:r>
      <w:r>
        <w:t xml:space="preserve"> </w:t>
      </w:r>
      <w:r w:rsidR="002A28E8">
        <w:t xml:space="preserve">Please submit no more than </w:t>
      </w:r>
      <w:r w:rsidR="002A28E8">
        <w:rPr>
          <w:b/>
          <w:u w:val="thick"/>
        </w:rPr>
        <w:t>2</w:t>
      </w:r>
      <w:r>
        <w:rPr>
          <w:b/>
          <w:u w:val="thick"/>
        </w:rPr>
        <w:t xml:space="preserve">0 pages </w:t>
      </w:r>
      <w:r>
        <w:t>for the response (not including the requirements, MSA, SLAs or pricing).</w:t>
      </w:r>
    </w:p>
    <w:p w:rsidR="000614D4" w:rsidRDefault="000614D4" w14:paraId="317A6150" w14:textId="77777777">
      <w:pPr>
        <w:pStyle w:val="BodyText"/>
        <w:spacing w:before="11"/>
        <w:rPr>
          <w:sz w:val="20"/>
        </w:rPr>
      </w:pPr>
    </w:p>
    <w:p w:rsidR="000614D4" w:rsidP="00232896" w:rsidRDefault="00232896" w14:paraId="3EF3FA80" w14:textId="77777777">
      <w:pPr>
        <w:pStyle w:val="Heading2"/>
        <w:numPr>
          <w:ilvl w:val="1"/>
          <w:numId w:val="4"/>
        </w:numPr>
        <w:tabs>
          <w:tab w:val="left" w:pos="1710"/>
          <w:tab w:val="left" w:pos="1800"/>
        </w:tabs>
        <w:ind w:left="1530" w:hanging="835"/>
      </w:pPr>
      <w:bookmarkStart w:name="1.1.10_Realistic_Offers" w:id="36"/>
      <w:bookmarkStart w:name="_bookmark19" w:id="37"/>
      <w:bookmarkEnd w:id="36"/>
      <w:bookmarkEnd w:id="37"/>
      <w:r>
        <w:t>Realistic</w:t>
      </w:r>
      <w:r w:rsidRPr="004729FE">
        <w:t xml:space="preserve"> </w:t>
      </w:r>
      <w:r>
        <w:t>Offers</w:t>
      </w:r>
    </w:p>
    <w:p w:rsidR="000614D4" w:rsidP="00274C2D" w:rsidRDefault="00232896" w14:paraId="4B447F4F" w14:textId="3084D1EA">
      <w:pPr>
        <w:pStyle w:val="BodyText"/>
        <w:ind w:left="1588" w:right="437" w:hanging="1"/>
      </w:pPr>
      <w:r>
        <w:t xml:space="preserve">Offers must be realistic and represent the best estimate of time, </w:t>
      </w:r>
      <w:proofErr w:type="gramStart"/>
      <w:r>
        <w:t>effort</w:t>
      </w:r>
      <w:proofErr w:type="gramEnd"/>
      <w:r>
        <w:t xml:space="preserve"> and cost</w:t>
      </w:r>
      <w:r w:rsidR="00274C2D">
        <w:t xml:space="preserve">. </w:t>
      </w:r>
      <w:r>
        <w:t>AOC shall bear no responsibility or increased obligation for an Offeror’s failure to accurately estimate the costs or resources required to meet the obligations defined in the offer.</w:t>
      </w:r>
    </w:p>
    <w:p w:rsidR="000614D4" w:rsidRDefault="000614D4" w14:paraId="1DD4E260" w14:textId="77777777">
      <w:pPr>
        <w:pStyle w:val="BodyText"/>
        <w:spacing w:before="9"/>
        <w:rPr>
          <w:sz w:val="20"/>
        </w:rPr>
      </w:pPr>
    </w:p>
    <w:p w:rsidR="000614D4" w:rsidP="00232896" w:rsidRDefault="00232896" w14:paraId="6BE0C18B" w14:textId="77777777">
      <w:pPr>
        <w:pStyle w:val="Heading2"/>
        <w:numPr>
          <w:ilvl w:val="1"/>
          <w:numId w:val="4"/>
        </w:numPr>
        <w:tabs>
          <w:tab w:val="left" w:pos="1710"/>
          <w:tab w:val="left" w:pos="1800"/>
        </w:tabs>
        <w:ind w:left="1530" w:hanging="835"/>
      </w:pPr>
      <w:bookmarkStart w:name="1.1.11_Multi-Contractor_Solutions_(Joint" w:id="38"/>
      <w:bookmarkStart w:name="_bookmark20" w:id="39"/>
      <w:bookmarkStart w:name="1.1.14_Confidentiality_of_Documents,_Pro" w:id="40"/>
      <w:bookmarkStart w:name="_bookmark23" w:id="41"/>
      <w:bookmarkEnd w:id="38"/>
      <w:bookmarkEnd w:id="39"/>
      <w:bookmarkEnd w:id="40"/>
      <w:bookmarkEnd w:id="41"/>
      <w:r>
        <w:t>Confidentiality of Documents, Proprietary Information, Public</w:t>
      </w:r>
      <w:r w:rsidRPr="004729FE">
        <w:t xml:space="preserve"> </w:t>
      </w:r>
      <w:r>
        <w:t>Information</w:t>
      </w:r>
    </w:p>
    <w:p w:rsidR="000614D4" w:rsidRDefault="00232896" w14:paraId="286DDB5F" w14:textId="77777777">
      <w:pPr>
        <w:pStyle w:val="BodyText"/>
        <w:ind w:left="1588" w:right="168"/>
      </w:pPr>
      <w:r>
        <w:t>All documents submitted as part of the Offeror’s submission will be deemed confidential during the evaluation process. There will not be a public opening of Offeror submissions. Offeror submissions will not be reviewed by anyone other than the AOC’s evaluation team or its designated agents.</w:t>
      </w:r>
    </w:p>
    <w:p w:rsidR="000614D4" w:rsidRDefault="00232896" w14:paraId="19859851" w14:textId="143C0550">
      <w:pPr>
        <w:pStyle w:val="BodyText"/>
        <w:spacing w:before="118"/>
        <w:ind w:left="1588" w:right="192"/>
      </w:pPr>
      <w:r>
        <w:t xml:space="preserve">Following the award of a final contract, responses to this RFP may be subject to release under NRS 239.010, the Nevada Open Records law. If an Offeror believes that any portion of the offer is confidential, then Offeror must indicate the </w:t>
      </w:r>
      <w:r w:rsidR="00997A37">
        <w:t>confidential</w:t>
      </w:r>
      <w:r>
        <w:t xml:space="preserve"> part of the offer and provide a </w:t>
      </w:r>
      <w:r w:rsidR="00997A37">
        <w:t>redacted</w:t>
      </w:r>
      <w:r>
        <w:t xml:space="preserve"> copy</w:t>
      </w:r>
      <w:r w:rsidR="00997A37">
        <w:t xml:space="preserve">. </w:t>
      </w:r>
      <w:r>
        <w:t>AOC is not responsible for discerning confidential or proprietary information.</w:t>
      </w:r>
    </w:p>
    <w:p w:rsidR="000614D4" w:rsidP="00BB63BA" w:rsidRDefault="00232896" w14:paraId="3720D990" w14:textId="3A8FBBC7">
      <w:pPr>
        <w:pStyle w:val="BodyText"/>
        <w:spacing w:before="118"/>
        <w:ind w:left="1588" w:right="511"/>
      </w:pPr>
      <w:r>
        <w:t xml:space="preserve">If a requestor appeals AOC’s withholding of any </w:t>
      </w:r>
      <w:r w:rsidR="00997A37">
        <w:t xml:space="preserve">confidential </w:t>
      </w:r>
      <w:r>
        <w:t>information designated by Offeror, AOC will notify Offeror whose offer is the subject of the request so Offeror may have the opportunity to submit any authority for withholding the information.</w:t>
      </w:r>
      <w:r w:rsidR="00BB63BA">
        <w:t xml:space="preserve"> </w:t>
      </w:r>
      <w:r>
        <w:t>AOC assumes no obligation or responsibility relating to the disclosure or nondisclosure of information submitted by Offeror.</w:t>
      </w:r>
    </w:p>
    <w:p w:rsidR="004E0DCD" w:rsidP="00BB63BA" w:rsidRDefault="004E0DCD" w14:paraId="37239A9C" w14:textId="77777777">
      <w:pPr>
        <w:pStyle w:val="BodyText"/>
        <w:spacing w:before="118"/>
        <w:ind w:left="1588" w:right="511"/>
      </w:pPr>
    </w:p>
    <w:p w:rsidR="000614D4" w:rsidRDefault="000614D4" w14:paraId="02474315" w14:textId="77777777">
      <w:pPr>
        <w:pStyle w:val="BodyText"/>
        <w:spacing w:before="0"/>
        <w:rPr>
          <w:sz w:val="21"/>
        </w:rPr>
      </w:pPr>
    </w:p>
    <w:p w:rsidR="000614D4" w:rsidP="00232896" w:rsidRDefault="00232896" w14:paraId="02E520F9" w14:textId="66764950">
      <w:pPr>
        <w:pStyle w:val="Heading2"/>
        <w:numPr>
          <w:ilvl w:val="1"/>
          <w:numId w:val="4"/>
        </w:numPr>
        <w:tabs>
          <w:tab w:val="left" w:pos="1710"/>
          <w:tab w:val="left" w:pos="1800"/>
        </w:tabs>
        <w:ind w:left="1530" w:hanging="835"/>
      </w:pPr>
      <w:bookmarkStart w:name="1.1.15_Collusion_or_Fraud" w:id="42"/>
      <w:bookmarkStart w:name="_bookmark24" w:id="43"/>
      <w:bookmarkEnd w:id="42"/>
      <w:bookmarkEnd w:id="43"/>
      <w:r>
        <w:lastRenderedPageBreak/>
        <w:t xml:space="preserve">Collusion </w:t>
      </w:r>
      <w:r w:rsidR="00BB63BA">
        <w:t>and</w:t>
      </w:r>
      <w:r w:rsidRPr="004729FE">
        <w:t xml:space="preserve"> </w:t>
      </w:r>
      <w:r>
        <w:t>Fraud</w:t>
      </w:r>
    </w:p>
    <w:p w:rsidR="000614D4" w:rsidP="00BB63BA" w:rsidRDefault="00232896" w14:paraId="6394B1DE" w14:textId="71F7A4B5">
      <w:pPr>
        <w:pStyle w:val="BodyText"/>
        <w:ind w:left="1588" w:right="268" w:hanging="1"/>
      </w:pPr>
      <w:r>
        <w:t>Any evidence of agreement among prospective Offeror(s) to restrain competition by engaging in bid-rigging</w:t>
      </w:r>
      <w:r w:rsidR="0072190B">
        <w:t xml:space="preserve">, </w:t>
      </w:r>
      <w:r>
        <w:t xml:space="preserve">price-fixing, or otherwise will </w:t>
      </w:r>
      <w:r w:rsidR="004E0DCD">
        <w:t>void</w:t>
      </w:r>
      <w:r>
        <w:t xml:space="preserve"> the</w:t>
      </w:r>
      <w:r w:rsidR="004E0DCD">
        <w:t>ir</w:t>
      </w:r>
      <w:r>
        <w:t xml:space="preserve"> </w:t>
      </w:r>
      <w:r w:rsidR="004E0DCD">
        <w:t xml:space="preserve">respective </w:t>
      </w:r>
      <w:r>
        <w:t>offers.</w:t>
      </w:r>
      <w:bookmarkStart w:name="1.1.16_Lobbying_and_Gratuities" w:id="44"/>
      <w:bookmarkStart w:name="_bookmark25" w:id="45"/>
      <w:bookmarkEnd w:id="44"/>
      <w:bookmarkEnd w:id="45"/>
    </w:p>
    <w:p w:rsidR="000614D4" w:rsidRDefault="00232896" w14:paraId="5A78711B" w14:textId="0D67C565">
      <w:pPr>
        <w:pStyle w:val="BodyText"/>
        <w:ind w:left="1588" w:right="254" w:hanging="1"/>
      </w:pPr>
      <w:r>
        <w:t xml:space="preserve">Lobbying or providing gratuities to anyone acting on behalf of AOC or evaluating offers submitted in response to the RFP is strictly prohibited. </w:t>
      </w:r>
    </w:p>
    <w:p w:rsidR="000614D4" w:rsidRDefault="000614D4" w14:paraId="59980262" w14:textId="77777777">
      <w:pPr>
        <w:pStyle w:val="BodyText"/>
        <w:spacing w:before="9"/>
        <w:rPr>
          <w:sz w:val="20"/>
        </w:rPr>
      </w:pPr>
    </w:p>
    <w:p w:rsidR="000614D4" w:rsidP="00232896" w:rsidRDefault="00232896" w14:paraId="37A040D2" w14:textId="77777777">
      <w:pPr>
        <w:pStyle w:val="Heading2"/>
        <w:numPr>
          <w:ilvl w:val="1"/>
          <w:numId w:val="4"/>
        </w:numPr>
        <w:tabs>
          <w:tab w:val="left" w:pos="1710"/>
          <w:tab w:val="left" w:pos="1800"/>
        </w:tabs>
        <w:ind w:left="1530" w:hanging="835"/>
      </w:pPr>
      <w:bookmarkStart w:name="1.1.17_No_Communication_with_Media" w:id="46"/>
      <w:bookmarkStart w:name="_bookmark26" w:id="47"/>
      <w:bookmarkEnd w:id="46"/>
      <w:bookmarkEnd w:id="47"/>
      <w:r>
        <w:t>No Communication with</w:t>
      </w:r>
      <w:r w:rsidRPr="004729FE">
        <w:t xml:space="preserve"> </w:t>
      </w:r>
      <w:r>
        <w:t>Media</w:t>
      </w:r>
    </w:p>
    <w:p w:rsidR="000614D4" w:rsidRDefault="00232896" w14:paraId="19E37C40" w14:textId="45B4954B">
      <w:pPr>
        <w:pStyle w:val="BodyText"/>
        <w:ind w:left="1588" w:right="242" w:hanging="1"/>
      </w:pPr>
      <w:r>
        <w:t xml:space="preserve">Offerors may not, at any time, disseminate any public disclosure </w:t>
      </w:r>
      <w:r w:rsidR="00BB63BA">
        <w:t>or</w:t>
      </w:r>
      <w:r>
        <w:t xml:space="preserve"> subsequent</w:t>
      </w:r>
      <w:r w:rsidR="00BB63BA">
        <w:t xml:space="preserve"> </w:t>
      </w:r>
      <w:r>
        <w:t>agreement entered into pursuant to this RFP without first obtaining the written permission of AOC.</w:t>
      </w:r>
    </w:p>
    <w:p w:rsidR="000614D4" w:rsidRDefault="000614D4" w14:paraId="4722736C" w14:textId="77777777">
      <w:pPr>
        <w:pStyle w:val="BodyText"/>
        <w:spacing w:before="9"/>
        <w:rPr>
          <w:sz w:val="20"/>
        </w:rPr>
      </w:pPr>
    </w:p>
    <w:p w:rsidR="000614D4" w:rsidP="00232896" w:rsidRDefault="00232896" w14:paraId="0FB2DDB7" w14:textId="77777777">
      <w:pPr>
        <w:pStyle w:val="Heading2"/>
        <w:numPr>
          <w:ilvl w:val="1"/>
          <w:numId w:val="4"/>
        </w:numPr>
        <w:tabs>
          <w:tab w:val="left" w:pos="1710"/>
          <w:tab w:val="left" w:pos="1800"/>
        </w:tabs>
        <w:ind w:left="1530" w:hanging="835"/>
      </w:pPr>
      <w:bookmarkStart w:name="1.1.18_AOC’s_Right_to_Reject_Offers" w:id="48"/>
      <w:bookmarkStart w:name="_bookmark27" w:id="49"/>
      <w:bookmarkEnd w:id="48"/>
      <w:bookmarkEnd w:id="49"/>
      <w:r>
        <w:t>AOC’s Right to Reject</w:t>
      </w:r>
      <w:r w:rsidRPr="004729FE">
        <w:t xml:space="preserve"> </w:t>
      </w:r>
      <w:r>
        <w:t>Offers</w:t>
      </w:r>
    </w:p>
    <w:p w:rsidR="000614D4" w:rsidRDefault="00232896" w14:paraId="5BF06309" w14:textId="2F4D2B30">
      <w:pPr>
        <w:pStyle w:val="BodyText"/>
        <w:ind w:left="1588" w:right="205" w:hanging="1"/>
      </w:pPr>
      <w:r>
        <w:t xml:space="preserve">AOC reserves the right to reject any and all offers </w:t>
      </w:r>
      <w:r w:rsidR="000F649B">
        <w:t>(</w:t>
      </w:r>
      <w:r>
        <w:t>or any part thereof</w:t>
      </w:r>
      <w:r w:rsidR="000F649B">
        <w:t>)</w:t>
      </w:r>
      <w:r>
        <w:t xml:space="preserve"> to waive defects,</w:t>
      </w:r>
      <w:r w:rsidR="000F649B">
        <w:t xml:space="preserve"> </w:t>
      </w:r>
      <w:r>
        <w:t xml:space="preserve">to sit and act as sole judge of the merit and qualifications of each product offered, or to solicit new offers on </w:t>
      </w:r>
      <w:r w:rsidR="005F7B15">
        <w:t>a similar</w:t>
      </w:r>
      <w:r>
        <w:t xml:space="preserve"> scope of work.</w:t>
      </w:r>
    </w:p>
    <w:p w:rsidR="000614D4" w:rsidRDefault="000614D4" w14:paraId="30143AE5" w14:textId="77777777">
      <w:pPr>
        <w:pStyle w:val="BodyText"/>
        <w:spacing w:before="9"/>
        <w:rPr>
          <w:sz w:val="20"/>
        </w:rPr>
      </w:pPr>
    </w:p>
    <w:p w:rsidR="000614D4" w:rsidP="00232896" w:rsidRDefault="00232896" w14:paraId="132428E1" w14:textId="77777777">
      <w:pPr>
        <w:pStyle w:val="Heading2"/>
        <w:numPr>
          <w:ilvl w:val="1"/>
          <w:numId w:val="4"/>
        </w:numPr>
        <w:tabs>
          <w:tab w:val="left" w:pos="1710"/>
          <w:tab w:val="left" w:pos="1800"/>
        </w:tabs>
        <w:ind w:left="1530" w:hanging="835"/>
      </w:pPr>
      <w:bookmarkStart w:name="1.1.19_AOC’s_Right_to_Cancel_Solicitatio" w:id="50"/>
      <w:bookmarkStart w:name="_bookmark28" w:id="51"/>
      <w:bookmarkEnd w:id="50"/>
      <w:bookmarkEnd w:id="51"/>
      <w:r>
        <w:t>AOC’s Right to Cancel</w:t>
      </w:r>
      <w:r w:rsidRPr="004729FE">
        <w:t xml:space="preserve"> </w:t>
      </w:r>
      <w:r>
        <w:t>Solicitation</w:t>
      </w:r>
    </w:p>
    <w:p w:rsidR="000614D4" w:rsidRDefault="00232896" w14:paraId="6D40F05D" w14:textId="77777777">
      <w:pPr>
        <w:pStyle w:val="BodyText"/>
        <w:ind w:left="1588" w:right="622" w:hanging="1"/>
      </w:pPr>
      <w:r>
        <w:t>AOC reserves the right to cancel this RFP for any or no reason at any time during the procurement process. AOC makes no commitments, expressed or implied, that this process will result in a business transaction with any organization.</w:t>
      </w:r>
    </w:p>
    <w:p w:rsidR="000614D4" w:rsidRDefault="00232896" w14:paraId="6F521B90" w14:textId="1BF8FADE">
      <w:pPr>
        <w:pStyle w:val="BodyText"/>
        <w:spacing w:before="121"/>
        <w:ind w:left="1588" w:right="474" w:hanging="1"/>
      </w:pPr>
      <w:r>
        <w:t>This RFP does not constitute an offer by the AOC. An Offeror’s participation in this process may result in AOC selecting the Offeror to engage in further discussions and negotiations toward execution of a contract. The commencement of such negotiations does not</w:t>
      </w:r>
      <w:r w:rsidR="004409D5">
        <w:t xml:space="preserve"> </w:t>
      </w:r>
      <w:r>
        <w:t>signify a commitment to execute a contract. AOC may terminate negotiations at any time and for any or no reason.</w:t>
      </w:r>
    </w:p>
    <w:p w:rsidR="000614D4" w:rsidRDefault="000614D4" w14:paraId="626EF30A" w14:textId="77777777">
      <w:pPr>
        <w:pStyle w:val="BodyText"/>
        <w:spacing w:before="9"/>
        <w:rPr>
          <w:sz w:val="20"/>
        </w:rPr>
      </w:pPr>
      <w:bookmarkStart w:name="1.1.20_Amendment_or_Withdrawal_of_Offer" w:id="52"/>
      <w:bookmarkStart w:name="_bookmark29" w:id="53"/>
      <w:bookmarkEnd w:id="52"/>
      <w:bookmarkEnd w:id="53"/>
    </w:p>
    <w:p w:rsidR="000614D4" w:rsidP="00232896" w:rsidRDefault="00232896" w14:paraId="556EB8AC" w14:textId="77777777">
      <w:pPr>
        <w:pStyle w:val="Heading2"/>
        <w:numPr>
          <w:ilvl w:val="1"/>
          <w:numId w:val="4"/>
        </w:numPr>
        <w:tabs>
          <w:tab w:val="left" w:pos="1710"/>
          <w:tab w:val="left" w:pos="1800"/>
        </w:tabs>
        <w:ind w:left="1530" w:hanging="835"/>
      </w:pPr>
      <w:bookmarkStart w:name="1.1.22_Protests" w:id="54"/>
      <w:bookmarkStart w:name="_bookmark31" w:id="55"/>
      <w:bookmarkEnd w:id="54"/>
      <w:bookmarkEnd w:id="55"/>
      <w:r>
        <w:t>Protests</w:t>
      </w:r>
    </w:p>
    <w:p w:rsidR="000614D4" w:rsidRDefault="00232896" w14:paraId="13AF89DC" w14:textId="0DA48CAC">
      <w:pPr>
        <w:pStyle w:val="BodyText"/>
        <w:ind w:left="1587" w:right="412"/>
      </w:pPr>
      <w:r>
        <w:t>Protests after award must be submitted within ten calendar days after notification of award. AOC shall rule on the protest in accordance with its procurement protest procedures. Protests based on the content of the solicitation will be disallowed if these faults have not been brought to the attention of the Designated Contact in writing by the due date for final questions.</w:t>
      </w:r>
    </w:p>
    <w:p w:rsidR="000614D4" w:rsidRDefault="000614D4" w14:paraId="6BC6AD86" w14:textId="16F45E61">
      <w:pPr>
        <w:sectPr w:rsidR="000614D4" w:rsidSect="0086123C">
          <w:footerReference w:type="default" r:id="rId13"/>
          <w:pgSz w:w="12240" w:h="15840" w:orient="portrait"/>
          <w:pgMar w:top="1220" w:right="860" w:bottom="1280" w:left="860" w:header="819" w:footer="288" w:gutter="0"/>
          <w:cols w:space="720"/>
          <w:docGrid w:linePitch="299"/>
        </w:sectPr>
      </w:pPr>
      <w:bookmarkStart w:name="1.2_Offer_Evaluation" w:id="56"/>
      <w:bookmarkStart w:name="_bookmark32" w:id="57"/>
      <w:bookmarkEnd w:id="56"/>
      <w:bookmarkEnd w:id="57"/>
    </w:p>
    <w:p w:rsidR="000614D4" w:rsidRDefault="00232896" w14:paraId="3DF7835A" w14:textId="62A47DCA">
      <w:pPr>
        <w:pStyle w:val="Heading1"/>
        <w:tabs>
          <w:tab w:val="left" w:pos="2307"/>
        </w:tabs>
      </w:pPr>
      <w:r>
        <w:lastRenderedPageBreak/>
        <w:t>Section</w:t>
      </w:r>
      <w:r>
        <w:rPr>
          <w:spacing w:val="-4"/>
        </w:rPr>
        <w:t xml:space="preserve"> </w:t>
      </w:r>
      <w:r w:rsidR="004409D5">
        <w:t>4</w:t>
      </w:r>
      <w:r>
        <w:t>.</w:t>
      </w:r>
      <w:r>
        <w:tab/>
      </w:r>
      <w:r>
        <w:t xml:space="preserve">Offer </w:t>
      </w:r>
      <w:r w:rsidR="009C1E33">
        <w:t>Format</w:t>
      </w:r>
      <w:r w:rsidR="009F1F1F">
        <w:t xml:space="preserve"> </w:t>
      </w:r>
    </w:p>
    <w:p w:rsidR="000614D4" w:rsidP="00232896" w:rsidRDefault="00232896" w14:paraId="71B8BD7E" w14:textId="20D9E7F6">
      <w:pPr>
        <w:pStyle w:val="Heading2"/>
        <w:numPr>
          <w:ilvl w:val="1"/>
          <w:numId w:val="1"/>
        </w:numPr>
        <w:spacing w:before="120"/>
        <w:ind w:left="1526" w:hanging="806"/>
      </w:pPr>
      <w:bookmarkStart w:name="2.1_Offer_Format" w:id="58"/>
      <w:bookmarkStart w:name="_bookmark42" w:id="59"/>
      <w:bookmarkEnd w:id="58"/>
      <w:bookmarkEnd w:id="59"/>
      <w:r>
        <w:rPr>
          <w:spacing w:val="7"/>
        </w:rPr>
        <w:t>O</w:t>
      </w:r>
      <w:r w:rsidR="009547B1">
        <w:rPr>
          <w:spacing w:val="7"/>
        </w:rPr>
        <w:t>verview</w:t>
      </w:r>
    </w:p>
    <w:p w:rsidR="000614D4" w:rsidP="0086123C" w:rsidRDefault="00232896" w14:paraId="610A72D8" w14:textId="0C6D6171">
      <w:pPr>
        <w:pStyle w:val="BodyText"/>
        <w:ind w:left="1587" w:right="412"/>
      </w:pPr>
      <w:r>
        <w:t xml:space="preserve">The submitted offer must follow the rules and format established within this RFP. Adherence to these rules will ensure a fair and objective analysis of all offers. Failure to comply with any portion of these instructions </w:t>
      </w:r>
      <w:r w:rsidR="0088421E">
        <w:t>may</w:t>
      </w:r>
      <w:r>
        <w:t xml:space="preserve"> result in rejection of an offer.</w:t>
      </w:r>
      <w:r w:rsidR="0086123C">
        <w:t xml:space="preserve"> </w:t>
      </w:r>
      <w:r>
        <w:t>Offerors shall submit one electronic copy of the offer on a standard USB flash drive. The offer must</w:t>
      </w:r>
      <w:r w:rsidR="00477199">
        <w:t xml:space="preserve"> include the sections and bullet points delineated below</w:t>
      </w:r>
      <w:r>
        <w:t>:</w:t>
      </w:r>
    </w:p>
    <w:p w:rsidR="000614D4" w:rsidP="00232896" w:rsidRDefault="00232896" w14:paraId="68E4A407" w14:textId="06C4E32D">
      <w:pPr>
        <w:pStyle w:val="BodyText"/>
        <w:numPr>
          <w:ilvl w:val="0"/>
          <w:numId w:val="5"/>
        </w:numPr>
        <w:ind w:right="412"/>
      </w:pPr>
      <w:r>
        <w:t>be submitted in a searchable PDF and</w:t>
      </w:r>
      <w:r w:rsidR="0086123C">
        <w:t>/or</w:t>
      </w:r>
      <w:r>
        <w:t xml:space="preserve"> Excel for </w:t>
      </w:r>
      <w:r w:rsidR="00134B86">
        <w:t xml:space="preserve">all </w:t>
      </w:r>
      <w:proofErr w:type="gramStart"/>
      <w:r>
        <w:t>answers</w:t>
      </w:r>
      <w:r w:rsidR="0086123C">
        <w:t>;</w:t>
      </w:r>
      <w:proofErr w:type="gramEnd"/>
    </w:p>
    <w:p w:rsidR="000614D4" w:rsidP="00232896" w:rsidRDefault="00232896" w14:paraId="26759F66" w14:textId="0E14E0B8">
      <w:pPr>
        <w:pStyle w:val="BodyText"/>
        <w:numPr>
          <w:ilvl w:val="0"/>
          <w:numId w:val="5"/>
        </w:numPr>
        <w:ind w:right="412"/>
      </w:pPr>
      <w:r>
        <w:t>include page numbers and contain a single organized, paginated table of</w:t>
      </w:r>
      <w:r w:rsidRPr="004409D5">
        <w:t xml:space="preserve"> </w:t>
      </w:r>
      <w:r>
        <w:t>contents</w:t>
      </w:r>
      <w:r w:rsidR="0086123C">
        <w:t xml:space="preserve"> if appropriate</w:t>
      </w:r>
      <w:r>
        <w:t>;</w:t>
      </w:r>
      <w:r w:rsidR="0086123C">
        <w:t xml:space="preserve"> and</w:t>
      </w:r>
    </w:p>
    <w:p w:rsidR="0012699B" w:rsidP="00232896" w:rsidRDefault="00232896" w14:paraId="057AB31E" w14:textId="5BE610DC">
      <w:pPr>
        <w:pStyle w:val="BodyText"/>
        <w:numPr>
          <w:ilvl w:val="0"/>
          <w:numId w:val="5"/>
        </w:numPr>
        <w:ind w:right="412"/>
      </w:pPr>
      <w:r>
        <w:t xml:space="preserve">include </w:t>
      </w:r>
      <w:r w:rsidR="0088421E">
        <w:t xml:space="preserve">the responses on all Attachments as </w:t>
      </w:r>
      <w:r>
        <w:t>separate, clearly designated file</w:t>
      </w:r>
      <w:r w:rsidR="0088421E">
        <w:t>s</w:t>
      </w:r>
      <w:r>
        <w:t xml:space="preserve"> on the USB.</w:t>
      </w:r>
    </w:p>
    <w:p w:rsidRPr="00F64C6C" w:rsidR="00F64C6C" w:rsidP="00755BAC" w:rsidRDefault="00F64C6C" w14:paraId="24219DDE" w14:textId="77777777">
      <w:pPr>
        <w:pStyle w:val="BodyText"/>
        <w:spacing w:before="9"/>
        <w:ind w:left="2304" w:right="418"/>
        <w:rPr>
          <w:sz w:val="20"/>
          <w:szCs w:val="20"/>
        </w:rPr>
      </w:pPr>
    </w:p>
    <w:p w:rsidRPr="0079265C" w:rsidR="0079265C" w:rsidP="00232896" w:rsidRDefault="0079265C" w14:paraId="4D542B9F" w14:textId="77777777">
      <w:pPr>
        <w:pStyle w:val="Heading2"/>
        <w:numPr>
          <w:ilvl w:val="1"/>
          <w:numId w:val="1"/>
        </w:numPr>
        <w:ind w:left="1526" w:hanging="806"/>
        <w:rPr>
          <w:spacing w:val="7"/>
        </w:rPr>
      </w:pPr>
      <w:r>
        <w:rPr>
          <w:spacing w:val="7"/>
        </w:rPr>
        <w:t>Cover</w:t>
      </w:r>
      <w:r w:rsidRPr="0079265C">
        <w:rPr>
          <w:spacing w:val="7"/>
        </w:rPr>
        <w:t xml:space="preserve"> Letter</w:t>
      </w:r>
    </w:p>
    <w:p w:rsidR="0079265C" w:rsidP="00755BAC" w:rsidRDefault="0079265C" w14:paraId="311A4D93" w14:textId="4805971E">
      <w:pPr>
        <w:pStyle w:val="BodyText"/>
        <w:ind w:left="1587" w:right="412"/>
      </w:pPr>
      <w:r>
        <w:t>All offers must include a Cover Letter. The Cover Letter must include the title, address, and telephone number of the person(s) authorized to represent the Offeror regarding all matters related to the offer and any subsequent contract. This letter must be signed by a person(s) authorized to bind the company to all commitments made in the offer.</w:t>
      </w:r>
    </w:p>
    <w:p w:rsidR="0079265C" w:rsidP="00755BAC" w:rsidRDefault="0079265C" w14:paraId="591EDFEF" w14:textId="77777777">
      <w:pPr>
        <w:pStyle w:val="BodyText"/>
        <w:ind w:left="1587" w:right="412"/>
      </w:pPr>
      <w:r>
        <w:t>Offeror must provide a summary of its offer that highlights the key points and explains how the offered Solution and approach provides the best value in meeting the needs of the State.</w:t>
      </w:r>
    </w:p>
    <w:p w:rsidR="0079265C" w:rsidP="00755BAC" w:rsidRDefault="0079265C" w14:paraId="7209BE38" w14:textId="5C639CE8">
      <w:pPr>
        <w:pStyle w:val="BodyText"/>
        <w:ind w:left="1587" w:right="412"/>
      </w:pPr>
      <w:r>
        <w:t>The summary must additionally describe why the Solution described in the offer is important to the Offeror’s organization and why the Offeror is best qualified.</w:t>
      </w:r>
    </w:p>
    <w:p w:rsidRPr="00755BAC" w:rsidR="00755BAC" w:rsidP="000720F6" w:rsidRDefault="00755BAC" w14:paraId="7487513C" w14:textId="77777777">
      <w:pPr>
        <w:pStyle w:val="BodyText"/>
        <w:spacing w:before="9"/>
        <w:ind w:left="1584" w:right="418"/>
      </w:pPr>
    </w:p>
    <w:p w:rsidRPr="0012699B" w:rsidR="0079265C" w:rsidP="00232896" w:rsidRDefault="0079265C" w14:paraId="458AA3FC" w14:textId="16309246">
      <w:pPr>
        <w:pStyle w:val="Heading2"/>
        <w:numPr>
          <w:ilvl w:val="1"/>
          <w:numId w:val="1"/>
        </w:numPr>
        <w:ind w:left="1526" w:hanging="806"/>
        <w:rPr>
          <w:spacing w:val="7"/>
        </w:rPr>
      </w:pPr>
      <w:bookmarkStart w:name="4.1_Company_Details" w:id="60"/>
      <w:bookmarkStart w:name="_bookmark65" w:id="61"/>
      <w:bookmarkEnd w:id="60"/>
      <w:bookmarkEnd w:id="61"/>
      <w:r w:rsidRPr="0012699B">
        <w:rPr>
          <w:spacing w:val="7"/>
        </w:rPr>
        <w:t>Co</w:t>
      </w:r>
      <w:r w:rsidRPr="0012699B" w:rsidR="0012699B">
        <w:rPr>
          <w:spacing w:val="7"/>
        </w:rPr>
        <w:t>rporate Profile</w:t>
      </w:r>
      <w:bookmarkStart w:name="4.1.1_Company_Profile" w:id="62"/>
      <w:bookmarkStart w:name="_bookmark66" w:id="63"/>
      <w:bookmarkEnd w:id="62"/>
      <w:bookmarkEnd w:id="63"/>
    </w:p>
    <w:p w:rsidR="0079265C" w:rsidP="00755BAC" w:rsidRDefault="0079265C" w14:paraId="72C1D668" w14:textId="3FD323E2">
      <w:pPr>
        <w:pStyle w:val="BodyText"/>
        <w:ind w:left="1587" w:right="412"/>
      </w:pPr>
      <w:r>
        <w:t>Provide a brief overview of your company, describing the size, mission, primary line of business, how it is organized, and how its available products and resources will be used to meet this RFP’s requirements.</w:t>
      </w:r>
    </w:p>
    <w:p w:rsidR="0079265C" w:rsidP="00755BAC" w:rsidRDefault="0079265C" w14:paraId="114B4826" w14:textId="6259DD32">
      <w:pPr>
        <w:pStyle w:val="BodyText"/>
        <w:ind w:left="1587" w:right="412"/>
      </w:pPr>
      <w:r>
        <w:t xml:space="preserve">If Offeror will be using multiple vendors to provide any system/service component items, </w:t>
      </w:r>
      <w:r w:rsidR="0012699B">
        <w:t xml:space="preserve">please list them as well. </w:t>
      </w:r>
    </w:p>
    <w:p w:rsidRPr="00F64C6C" w:rsidR="0079265C" w:rsidP="0079265C" w:rsidRDefault="0079265C" w14:paraId="101B90BB" w14:textId="77777777">
      <w:pPr>
        <w:pStyle w:val="BodyText"/>
        <w:spacing w:before="0"/>
        <w:rPr>
          <w:sz w:val="20"/>
          <w:szCs w:val="20"/>
        </w:rPr>
      </w:pPr>
    </w:p>
    <w:p w:rsidRPr="0012699B" w:rsidR="0079265C" w:rsidP="00232896" w:rsidRDefault="0012699B" w14:paraId="0C8C0EE2" w14:textId="21D14858">
      <w:pPr>
        <w:pStyle w:val="Heading2"/>
        <w:numPr>
          <w:ilvl w:val="1"/>
          <w:numId w:val="1"/>
        </w:numPr>
        <w:ind w:left="1526" w:hanging="806"/>
        <w:rPr>
          <w:spacing w:val="7"/>
        </w:rPr>
      </w:pPr>
      <w:bookmarkStart w:name="4.1.2_Company_Background" w:id="64"/>
      <w:bookmarkStart w:name="_bookmark67" w:id="65"/>
      <w:bookmarkEnd w:id="64"/>
      <w:bookmarkEnd w:id="65"/>
      <w:r w:rsidRPr="0012699B">
        <w:rPr>
          <w:spacing w:val="7"/>
        </w:rPr>
        <w:t>Contractual History</w:t>
      </w:r>
    </w:p>
    <w:p w:rsidR="0079265C" w:rsidP="00755BAC" w:rsidRDefault="0012699B" w14:paraId="53F46619" w14:textId="027BD74C">
      <w:pPr>
        <w:pStyle w:val="BodyText"/>
        <w:ind w:left="1587" w:right="412"/>
      </w:pPr>
      <w:bookmarkStart w:name="Recent_Contracts" w:id="66"/>
      <w:bookmarkEnd w:id="66"/>
      <w:r>
        <w:t xml:space="preserve">Identify </w:t>
      </w:r>
      <w:r w:rsidR="0079265C">
        <w:t>all</w:t>
      </w:r>
      <w:r w:rsidRPr="0012699B" w:rsidR="0079265C">
        <w:t xml:space="preserve"> </w:t>
      </w:r>
      <w:r w:rsidR="0079265C">
        <w:t>contracts</w:t>
      </w:r>
      <w:r w:rsidRPr="0012699B" w:rsidR="0079265C">
        <w:t xml:space="preserve"> </w:t>
      </w:r>
      <w:r w:rsidR="0079265C">
        <w:t>for</w:t>
      </w:r>
      <w:r w:rsidRPr="0012699B" w:rsidR="0079265C">
        <w:t xml:space="preserve"> </w:t>
      </w:r>
      <w:r w:rsidR="0079265C">
        <w:t>similar</w:t>
      </w:r>
      <w:r w:rsidRPr="0012699B" w:rsidR="0079265C">
        <w:t xml:space="preserve"> </w:t>
      </w:r>
      <w:r w:rsidR="0079265C">
        <w:t>solutions</w:t>
      </w:r>
      <w:r w:rsidRPr="0012699B" w:rsidR="0079265C">
        <w:t xml:space="preserve"> </w:t>
      </w:r>
      <w:r w:rsidR="0079265C">
        <w:t>and/or</w:t>
      </w:r>
      <w:r w:rsidRPr="0012699B" w:rsidR="0079265C">
        <w:t xml:space="preserve"> </w:t>
      </w:r>
      <w:r w:rsidR="0079265C">
        <w:t>services</w:t>
      </w:r>
      <w:r w:rsidRPr="0012699B" w:rsidR="0079265C">
        <w:t xml:space="preserve"> </w:t>
      </w:r>
      <w:r w:rsidR="0079265C">
        <w:t>which</w:t>
      </w:r>
      <w:r w:rsidRPr="0012699B" w:rsidR="0079265C">
        <w:t xml:space="preserve"> </w:t>
      </w:r>
      <w:r w:rsidR="0079265C">
        <w:t>the</w:t>
      </w:r>
      <w:r w:rsidRPr="0012699B" w:rsidR="0079265C">
        <w:t xml:space="preserve"> </w:t>
      </w:r>
      <w:r w:rsidR="0079265C">
        <w:t>Offeror</w:t>
      </w:r>
      <w:r w:rsidRPr="0012699B" w:rsidR="0079265C">
        <w:t xml:space="preserve"> </w:t>
      </w:r>
      <w:r w:rsidR="0079265C">
        <w:t>has</w:t>
      </w:r>
      <w:r w:rsidRPr="0012699B" w:rsidR="0079265C">
        <w:t xml:space="preserve"> </w:t>
      </w:r>
      <w:r w:rsidR="0079265C">
        <w:t>entered</w:t>
      </w:r>
      <w:r w:rsidRPr="0012699B" w:rsidR="0079265C">
        <w:t xml:space="preserve"> </w:t>
      </w:r>
      <w:r w:rsidR="0079265C">
        <w:t>into within the past three years. If client confidentiality is necessary, provide descriptive information to allow AOC to understand the type and size of client served</w:t>
      </w:r>
      <w:r>
        <w:t xml:space="preserve">. </w:t>
      </w:r>
      <w:r w:rsidR="0079265C">
        <w:t>If no recent contracts have been entered into, state</w:t>
      </w:r>
      <w:r w:rsidRPr="0012699B" w:rsidR="0079265C">
        <w:t xml:space="preserve"> </w:t>
      </w:r>
      <w:r w:rsidR="0079265C">
        <w:t>“None.”</w:t>
      </w:r>
      <w:bookmarkStart w:name="Contract_Terminations" w:id="67"/>
      <w:bookmarkEnd w:id="67"/>
    </w:p>
    <w:p w:rsidR="0079265C" w:rsidP="0079265C" w:rsidRDefault="0079265C" w14:paraId="79D85483" w14:textId="77777777">
      <w:pPr>
        <w:pStyle w:val="BodyText"/>
        <w:spacing w:before="0"/>
        <w:rPr>
          <w:sz w:val="20"/>
        </w:rPr>
      </w:pPr>
    </w:p>
    <w:p w:rsidRPr="00F64C6C" w:rsidR="0079265C" w:rsidP="00232896" w:rsidRDefault="0079265C" w14:paraId="7B2F13F5" w14:textId="77777777">
      <w:pPr>
        <w:pStyle w:val="Heading2"/>
        <w:numPr>
          <w:ilvl w:val="1"/>
          <w:numId w:val="1"/>
        </w:numPr>
        <w:ind w:left="1526" w:hanging="806"/>
        <w:rPr>
          <w:spacing w:val="7"/>
        </w:rPr>
      </w:pPr>
      <w:bookmarkStart w:name="Business_Disputes_and_Outstanding_Litiga" w:id="68"/>
      <w:bookmarkEnd w:id="68"/>
      <w:r w:rsidRPr="00F64C6C">
        <w:rPr>
          <w:spacing w:val="7"/>
        </w:rPr>
        <w:t>Business Disputes and Outstanding Litigation</w:t>
      </w:r>
    </w:p>
    <w:p w:rsidR="00F64C6C" w:rsidP="00755BAC" w:rsidRDefault="0079265C" w14:paraId="0100B3BB" w14:textId="6158D390">
      <w:pPr>
        <w:pStyle w:val="BodyText"/>
        <w:ind w:left="1587" w:right="412"/>
      </w:pPr>
      <w:r>
        <w:t>Disclose any judgments that have occurred within the past five years and any current</w:t>
      </w:r>
      <w:r w:rsidR="00F64C6C">
        <w:t>ly</w:t>
      </w:r>
      <w:r>
        <w:t xml:space="preserve"> pending litigation. If the Offeror has partnered with other organizations for this project, any judgments or litigation of the partner organizations must be</w:t>
      </w:r>
      <w:r w:rsidRPr="00F64C6C">
        <w:t xml:space="preserve"> </w:t>
      </w:r>
      <w:r>
        <w:t>provided.</w:t>
      </w:r>
      <w:r w:rsidR="00F64C6C">
        <w:t xml:space="preserve"> </w:t>
      </w:r>
      <w:r>
        <w:t>If none are known to exist for any organization included in this offer, state</w:t>
      </w:r>
      <w:r w:rsidRPr="00F64C6C">
        <w:t xml:space="preserve"> </w:t>
      </w:r>
      <w:r>
        <w:t>“None.”</w:t>
      </w:r>
    </w:p>
    <w:p w:rsidR="00F64C6C" w:rsidP="00F64C6C" w:rsidRDefault="00F64C6C" w14:paraId="27B927A0" w14:textId="185BCACF">
      <w:pPr>
        <w:pStyle w:val="BodyText"/>
        <w:ind w:left="1319" w:right="204"/>
      </w:pPr>
    </w:p>
    <w:p w:rsidR="00477199" w:rsidP="00F64C6C" w:rsidRDefault="00477199" w14:paraId="1480370F" w14:textId="77777777">
      <w:pPr>
        <w:pStyle w:val="BodyText"/>
        <w:ind w:left="1319" w:right="204"/>
      </w:pPr>
    </w:p>
    <w:p w:rsidRPr="00F64C6C" w:rsidR="0079265C" w:rsidP="00232896" w:rsidRDefault="0079265C" w14:paraId="1B474A12" w14:textId="77777777">
      <w:pPr>
        <w:pStyle w:val="Heading2"/>
        <w:numPr>
          <w:ilvl w:val="1"/>
          <w:numId w:val="1"/>
        </w:numPr>
        <w:ind w:left="1526" w:hanging="806"/>
        <w:rPr>
          <w:spacing w:val="7"/>
        </w:rPr>
      </w:pPr>
      <w:bookmarkStart w:name="Mergers_and_Acquisitions" w:id="69"/>
      <w:bookmarkEnd w:id="69"/>
      <w:r w:rsidRPr="00F64C6C">
        <w:rPr>
          <w:spacing w:val="7"/>
        </w:rPr>
        <w:lastRenderedPageBreak/>
        <w:t>Mergers and Acquisitions</w:t>
      </w:r>
    </w:p>
    <w:p w:rsidR="0079265C" w:rsidP="00755BAC" w:rsidRDefault="0079265C" w14:paraId="18F156B4" w14:textId="772D3E4C">
      <w:pPr>
        <w:pStyle w:val="BodyText"/>
        <w:ind w:left="1587" w:right="412"/>
      </w:pPr>
      <w:r>
        <w:t>Disclose any planned sale, merger, or acquisition of any participating organization or its products relevant to th</w:t>
      </w:r>
      <w:r w:rsidR="00F64C6C">
        <w:t>is RFP</w:t>
      </w:r>
      <w:r>
        <w:t>. Disclose any mergers or acquisitions that have occurred during the past eighteen (18) months and the impact to the organization.</w:t>
      </w:r>
    </w:p>
    <w:p w:rsidRPr="00F64C6C" w:rsidR="00F64C6C" w:rsidP="000720F6" w:rsidRDefault="00F64C6C" w14:paraId="631C9DFE" w14:textId="77777777">
      <w:pPr>
        <w:pStyle w:val="BodyText"/>
        <w:spacing w:before="9"/>
        <w:ind w:left="1325" w:right="202"/>
        <w:rPr>
          <w:sz w:val="20"/>
          <w:szCs w:val="20"/>
        </w:rPr>
      </w:pPr>
    </w:p>
    <w:p w:rsidRPr="00F64C6C" w:rsidR="0079265C" w:rsidP="00232896" w:rsidRDefault="0079265C" w14:paraId="7D980546" w14:textId="77777777">
      <w:pPr>
        <w:pStyle w:val="Heading2"/>
        <w:numPr>
          <w:ilvl w:val="1"/>
          <w:numId w:val="1"/>
        </w:numPr>
        <w:ind w:left="1526" w:hanging="806"/>
        <w:rPr>
          <w:spacing w:val="7"/>
        </w:rPr>
      </w:pPr>
      <w:bookmarkStart w:name="Conflicts_of_Interest" w:id="70"/>
      <w:bookmarkEnd w:id="70"/>
      <w:r w:rsidRPr="00F64C6C">
        <w:rPr>
          <w:spacing w:val="7"/>
        </w:rPr>
        <w:t>Conflicts of Interest</w:t>
      </w:r>
    </w:p>
    <w:p w:rsidR="00F64C6C" w:rsidP="00755BAC" w:rsidRDefault="0079265C" w14:paraId="470B3904" w14:textId="77777777">
      <w:pPr>
        <w:pStyle w:val="BodyText"/>
        <w:ind w:left="1587" w:right="412"/>
      </w:pPr>
      <w:r>
        <w:t xml:space="preserve">Identify any potential conflicts of interest with </w:t>
      </w:r>
      <w:r w:rsidRPr="00F64C6C">
        <w:t xml:space="preserve">AOC </w:t>
      </w:r>
      <w:r>
        <w:t>or stakeholders</w:t>
      </w:r>
      <w:r w:rsidR="00F64C6C">
        <w:t>.</w:t>
      </w:r>
    </w:p>
    <w:p w:rsidRPr="00F64C6C" w:rsidR="0079265C" w:rsidP="000720F6" w:rsidRDefault="0079265C" w14:paraId="4C0F5ABC" w14:textId="3798D421">
      <w:pPr>
        <w:pStyle w:val="BodyText"/>
        <w:spacing w:before="9"/>
        <w:ind w:left="1325" w:right="202"/>
        <w:rPr>
          <w:sz w:val="20"/>
          <w:szCs w:val="20"/>
        </w:rPr>
      </w:pPr>
    </w:p>
    <w:p w:rsidRPr="00F64C6C" w:rsidR="0079265C" w:rsidP="00232896" w:rsidRDefault="0079265C" w14:paraId="0418A9C1" w14:textId="77777777">
      <w:pPr>
        <w:pStyle w:val="Heading2"/>
        <w:numPr>
          <w:ilvl w:val="1"/>
          <w:numId w:val="1"/>
        </w:numPr>
        <w:ind w:left="1526" w:hanging="806"/>
        <w:rPr>
          <w:spacing w:val="7"/>
        </w:rPr>
      </w:pPr>
      <w:bookmarkStart w:name="Financial_Solvency_and_Insurance_Informa" w:id="71"/>
      <w:bookmarkEnd w:id="71"/>
      <w:r w:rsidRPr="00F64C6C">
        <w:rPr>
          <w:spacing w:val="7"/>
        </w:rPr>
        <w:t>Financial Solvency and Insurance Information</w:t>
      </w:r>
    </w:p>
    <w:p w:rsidR="0079265C" w:rsidP="00755BAC" w:rsidRDefault="0079265C" w14:paraId="41350138" w14:textId="286F43F0">
      <w:pPr>
        <w:pStyle w:val="BodyText"/>
        <w:ind w:left="1587" w:right="412"/>
      </w:pPr>
      <w:r>
        <w:t>Offeror must provide most recent annual financial report or year-end financial statements, proof of liability insurance</w:t>
      </w:r>
      <w:r w:rsidR="000B4EFB">
        <w:t>,</w:t>
      </w:r>
      <w:r>
        <w:t xml:space="preserve"> and workers compensation</w:t>
      </w:r>
      <w:r w:rsidRPr="00477199">
        <w:t xml:space="preserve"> </w:t>
      </w:r>
      <w:r>
        <w:t>coverage.</w:t>
      </w:r>
    </w:p>
    <w:p w:rsidR="0079265C" w:rsidP="0079265C" w:rsidRDefault="0079265C" w14:paraId="297C8C59" w14:textId="77777777">
      <w:pPr>
        <w:pStyle w:val="BodyText"/>
        <w:spacing w:before="5"/>
        <w:rPr>
          <w:sz w:val="20"/>
        </w:rPr>
      </w:pPr>
    </w:p>
    <w:p w:rsidRPr="00F64C6C" w:rsidR="0079265C" w:rsidP="00232896" w:rsidRDefault="0079265C" w14:paraId="2A21055B" w14:textId="77777777">
      <w:pPr>
        <w:pStyle w:val="Heading2"/>
        <w:numPr>
          <w:ilvl w:val="1"/>
          <w:numId w:val="1"/>
        </w:numPr>
        <w:ind w:left="1526" w:hanging="806"/>
        <w:rPr>
          <w:spacing w:val="7"/>
        </w:rPr>
      </w:pPr>
      <w:bookmarkStart w:name="4.1.3_Staffing_Requirements" w:id="72"/>
      <w:bookmarkStart w:name="_bookmark68" w:id="73"/>
      <w:bookmarkEnd w:id="72"/>
      <w:bookmarkEnd w:id="73"/>
      <w:r w:rsidRPr="00F64C6C">
        <w:rPr>
          <w:spacing w:val="7"/>
        </w:rPr>
        <w:t>Staffing Requirements</w:t>
      </w:r>
    </w:p>
    <w:p w:rsidR="00755BAC" w:rsidP="00755BAC" w:rsidRDefault="0079265C" w14:paraId="2EF39E45" w14:textId="10F32848">
      <w:pPr>
        <w:pStyle w:val="BodyText"/>
        <w:ind w:left="1587" w:right="412"/>
      </w:pPr>
      <w:r>
        <w:t xml:space="preserve">Provide a staffing plan and bios for Key Team Members </w:t>
      </w:r>
      <w:r w:rsidR="00755BAC">
        <w:t xml:space="preserve">(including subcontractors) </w:t>
      </w:r>
      <w:r>
        <w:t>for review and approval.</w:t>
      </w:r>
      <w:bookmarkStart w:name="c._Describe_how_your_organization_will_h" w:id="74"/>
      <w:bookmarkEnd w:id="74"/>
      <w:r w:rsidR="00755BAC">
        <w:t xml:space="preserve"> </w:t>
      </w:r>
    </w:p>
    <w:p w:rsidR="00755BAC" w:rsidP="00755BAC" w:rsidRDefault="00755BAC" w14:paraId="686721E9" w14:textId="00FA1D13">
      <w:pPr>
        <w:pStyle w:val="BodyText"/>
        <w:ind w:left="1587" w:right="412"/>
      </w:pPr>
      <w:r>
        <w:t>Offeror must d</w:t>
      </w:r>
      <w:r w:rsidR="0079265C">
        <w:t xml:space="preserve">escribe how </w:t>
      </w:r>
      <w:r>
        <w:t>the</w:t>
      </w:r>
      <w:r w:rsidR="0079265C">
        <w:t xml:space="preserve"> organization will handle replacement of key project staff if a replacement is needed or requested</w:t>
      </w:r>
      <w:r>
        <w:t xml:space="preserve">. </w:t>
      </w:r>
    </w:p>
    <w:p w:rsidRPr="00DC267A" w:rsidR="00DC267A" w:rsidP="00755BAC" w:rsidRDefault="00DC267A" w14:paraId="163A09D8" w14:textId="77777777">
      <w:pPr>
        <w:pStyle w:val="BodyText"/>
        <w:ind w:left="1587" w:right="412"/>
        <w:rPr>
          <w:sz w:val="20"/>
          <w:szCs w:val="20"/>
        </w:rPr>
      </w:pPr>
    </w:p>
    <w:p w:rsidRPr="00F64C6C" w:rsidR="00DC267A" w:rsidP="00232896" w:rsidRDefault="00DC267A" w14:paraId="11760CD1" w14:textId="14BC5B5F">
      <w:pPr>
        <w:pStyle w:val="Heading2"/>
        <w:numPr>
          <w:ilvl w:val="1"/>
          <w:numId w:val="1"/>
        </w:numPr>
        <w:ind w:left="1526" w:hanging="806"/>
        <w:rPr>
          <w:spacing w:val="7"/>
        </w:rPr>
      </w:pPr>
      <w:r>
        <w:t>References</w:t>
      </w:r>
    </w:p>
    <w:p w:rsidR="00DC267A" w:rsidP="00DC267A" w:rsidRDefault="00DC267A" w14:paraId="33902A85" w14:textId="136E8592">
      <w:pPr>
        <w:pStyle w:val="BodyText"/>
        <w:ind w:left="1588" w:right="169"/>
      </w:pPr>
      <w:r>
        <w:t>Please provide a list of at least three (3) references for the AOC to contact.</w:t>
      </w:r>
    </w:p>
    <w:p w:rsidR="0079265C" w:rsidP="00755BAC" w:rsidRDefault="0079265C" w14:paraId="355EDC7F" w14:textId="240747FF">
      <w:pPr>
        <w:pStyle w:val="BodyText"/>
        <w:ind w:left="1587" w:right="412"/>
      </w:pPr>
    </w:p>
    <w:p w:rsidR="00DC267A" w:rsidP="00755BAC" w:rsidRDefault="00DC267A" w14:paraId="09BEE75A" w14:textId="77777777">
      <w:pPr>
        <w:pStyle w:val="BodyText"/>
        <w:ind w:left="1587" w:right="412"/>
      </w:pPr>
    </w:p>
    <w:p w:rsidR="000B4EFB" w:rsidP="000B4EFB" w:rsidRDefault="000B4EFB" w14:paraId="1C335234" w14:textId="37678092">
      <w:pPr>
        <w:pStyle w:val="BodyText"/>
        <w:ind w:right="412"/>
        <w:rPr>
          <w:sz w:val="20"/>
        </w:rPr>
      </w:pPr>
      <w:bookmarkStart w:name="4.2_Solution_Overview" w:id="75"/>
      <w:bookmarkStart w:name="_bookmark69" w:id="76"/>
      <w:bookmarkEnd w:id="75"/>
      <w:bookmarkEnd w:id="76"/>
    </w:p>
    <w:p w:rsidR="009547B1" w:rsidP="000B4EFB" w:rsidRDefault="009547B1" w14:paraId="18BC33EA" w14:textId="48550ECD">
      <w:pPr>
        <w:pStyle w:val="BodyText"/>
        <w:ind w:right="412"/>
        <w:rPr>
          <w:sz w:val="20"/>
        </w:rPr>
      </w:pPr>
      <w:r>
        <w:rPr>
          <w:sz w:val="20"/>
        </w:rPr>
        <w:br w:type="page"/>
      </w:r>
    </w:p>
    <w:p w:rsidR="00F64C6C" w:rsidP="00F64C6C" w:rsidRDefault="00F64C6C" w14:paraId="6296002D" w14:textId="1754F633">
      <w:pPr>
        <w:pStyle w:val="Heading1"/>
        <w:tabs>
          <w:tab w:val="left" w:pos="2307"/>
        </w:tabs>
      </w:pPr>
      <w:r>
        <w:lastRenderedPageBreak/>
        <w:t>Section</w:t>
      </w:r>
      <w:r>
        <w:rPr>
          <w:spacing w:val="-4"/>
        </w:rPr>
        <w:t xml:space="preserve"> </w:t>
      </w:r>
      <w:r w:rsidR="009547B1">
        <w:t>5</w:t>
      </w:r>
      <w:r>
        <w:t>.</w:t>
      </w:r>
      <w:r>
        <w:tab/>
      </w:r>
      <w:r w:rsidR="009547B1">
        <w:t>Evaluation Criteria &amp; Delivery Instructions</w:t>
      </w:r>
    </w:p>
    <w:p w:rsidRPr="009547B1" w:rsidR="00F64C6C" w:rsidP="00232896" w:rsidRDefault="00F64C6C" w14:paraId="2F91A5D3" w14:textId="77777777">
      <w:pPr>
        <w:pStyle w:val="Heading2"/>
        <w:numPr>
          <w:ilvl w:val="1"/>
          <w:numId w:val="6"/>
        </w:numPr>
        <w:spacing w:before="120"/>
        <w:ind w:left="1530" w:hanging="900"/>
        <w:rPr>
          <w:spacing w:val="7"/>
        </w:rPr>
      </w:pPr>
      <w:r>
        <w:rPr>
          <w:spacing w:val="7"/>
        </w:rPr>
        <w:t>Evaluation Criteria</w:t>
      </w:r>
    </w:p>
    <w:p w:rsidR="00F64C6C" w:rsidP="00F64C6C" w:rsidRDefault="00F64C6C" w14:paraId="01936393" w14:textId="77777777">
      <w:pPr>
        <w:pStyle w:val="BodyText"/>
        <w:ind w:left="1587" w:right="412"/>
      </w:pPr>
      <w:r>
        <w:t>AOC will use a formal evaluation process to select the successful Offeror. AOC will consider capabilities and advantages that are clearly described in the offer, which may be confirmed by oral presentations, demonstrations, and references. AOC reserves the right to contact individuals, entities, or organizations that have had dealings with the Offeror or proposed staff, whether or not identified in the offer.</w:t>
      </w:r>
    </w:p>
    <w:p w:rsidR="00F64C6C" w:rsidP="00F64C6C" w:rsidRDefault="00F64C6C" w14:paraId="0E5FC2AA" w14:textId="77777777">
      <w:pPr>
        <w:pStyle w:val="BodyText"/>
        <w:spacing w:before="5"/>
        <w:rPr>
          <w:b/>
          <w:i/>
          <w:sz w:val="19"/>
        </w:rPr>
      </w:pPr>
      <w:bookmarkStart w:name="1.2.1_Evaluation_Criteria" w:id="77"/>
      <w:bookmarkStart w:name="_bookmark33" w:id="78"/>
      <w:bookmarkEnd w:id="77"/>
      <w:bookmarkEnd w:id="78"/>
    </w:p>
    <w:tbl>
      <w:tblPr>
        <w:tblW w:w="0" w:type="auto"/>
        <w:jc w:val="cente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left w:w="0" w:type="dxa"/>
          <w:right w:w="0" w:type="dxa"/>
        </w:tblCellMar>
        <w:tblLook w:val="01E0" w:firstRow="1" w:lastRow="1" w:firstColumn="1" w:lastColumn="1" w:noHBand="0" w:noVBand="0"/>
      </w:tblPr>
      <w:tblGrid>
        <w:gridCol w:w="3594"/>
        <w:gridCol w:w="908"/>
      </w:tblGrid>
      <w:tr w:rsidR="004777AB" w:rsidTr="38583AAE" w14:paraId="6F9FAF61" w14:textId="77777777">
        <w:trPr>
          <w:trHeight w:val="347" w:hRule="exact"/>
          <w:jc w:val="center"/>
        </w:trPr>
        <w:tc>
          <w:tcPr>
            <w:tcW w:w="3594" w:type="dxa"/>
            <w:shd w:val="clear" w:color="auto" w:fill="B8CCE4" w:themeFill="accent1" w:themeFillTint="66"/>
            <w:tcMar/>
            <w:vAlign w:val="center"/>
          </w:tcPr>
          <w:p w:rsidRPr="004777AB" w:rsidR="004777AB" w:rsidP="00484BB2" w:rsidRDefault="004777AB" w14:paraId="799739AF" w14:textId="19625554">
            <w:pPr>
              <w:pStyle w:val="TableParagraph"/>
              <w:jc w:val="center"/>
              <w:rPr>
                <w:b/>
                <w:bCs/>
                <w:sz w:val="20"/>
              </w:rPr>
            </w:pPr>
            <w:r w:rsidRPr="004777AB">
              <w:rPr>
                <w:b/>
                <w:bCs/>
                <w:sz w:val="20"/>
              </w:rPr>
              <w:t>Evaluation</w:t>
            </w:r>
          </w:p>
        </w:tc>
        <w:tc>
          <w:tcPr>
            <w:tcW w:w="908" w:type="dxa"/>
            <w:shd w:val="clear" w:color="auto" w:fill="B8CCE4" w:themeFill="accent1" w:themeFillTint="66"/>
            <w:tcMar/>
            <w:vAlign w:val="center"/>
          </w:tcPr>
          <w:p w:rsidRPr="004777AB" w:rsidR="004777AB" w:rsidP="00484BB2" w:rsidRDefault="00484BB2" w14:paraId="398CF4FF" w14:textId="1B0FB070">
            <w:pPr>
              <w:pStyle w:val="TableParagraph"/>
              <w:spacing w:line="230" w:lineRule="exact"/>
              <w:ind w:left="0" w:right="104"/>
              <w:jc w:val="center"/>
              <w:rPr>
                <w:b/>
                <w:bCs/>
                <w:sz w:val="20"/>
              </w:rPr>
            </w:pPr>
            <w:r>
              <w:rPr>
                <w:b/>
                <w:bCs/>
                <w:sz w:val="20"/>
              </w:rPr>
              <w:t xml:space="preserve">  </w:t>
            </w:r>
            <w:r w:rsidRPr="004777AB" w:rsidR="004777AB">
              <w:rPr>
                <w:b/>
                <w:bCs/>
                <w:sz w:val="20"/>
              </w:rPr>
              <w:t>Weight</w:t>
            </w:r>
          </w:p>
        </w:tc>
      </w:tr>
      <w:tr w:rsidR="00F64C6C" w:rsidTr="38583AAE" w14:paraId="1154E609" w14:textId="77777777">
        <w:trPr>
          <w:trHeight w:val="347" w:hRule="exact"/>
          <w:jc w:val="center"/>
        </w:trPr>
        <w:tc>
          <w:tcPr>
            <w:tcW w:w="3594" w:type="dxa"/>
            <w:tcMar/>
            <w:vAlign w:val="center"/>
          </w:tcPr>
          <w:p w:rsidR="00F64C6C" w:rsidRDefault="003736BD" w14:paraId="25B18848" w14:textId="010E28C1">
            <w:pPr>
              <w:pStyle w:val="TableParagraph"/>
              <w:spacing w:line="230" w:lineRule="exact"/>
              <w:rPr>
                <w:sz w:val="20"/>
              </w:rPr>
            </w:pPr>
            <w:r>
              <w:rPr>
                <w:sz w:val="20"/>
              </w:rPr>
              <w:t>Project &amp; Program Management</w:t>
            </w:r>
          </w:p>
        </w:tc>
        <w:tc>
          <w:tcPr>
            <w:tcW w:w="908" w:type="dxa"/>
            <w:tcMar/>
            <w:vAlign w:val="center"/>
          </w:tcPr>
          <w:p w:rsidR="00F64C6C" w:rsidRDefault="003736BD" w14:paraId="26C5E7A8" w14:textId="2BC605F8">
            <w:pPr>
              <w:pStyle w:val="TableParagraph"/>
              <w:spacing w:line="230" w:lineRule="exact"/>
              <w:ind w:left="0" w:right="104"/>
              <w:jc w:val="right"/>
              <w:rPr>
                <w:sz w:val="20"/>
              </w:rPr>
            </w:pPr>
            <w:r>
              <w:rPr>
                <w:sz w:val="20"/>
              </w:rPr>
              <w:t>45%</w:t>
            </w:r>
          </w:p>
        </w:tc>
      </w:tr>
      <w:tr w:rsidR="004777AB" w:rsidTr="38583AAE" w14:paraId="75A992E0" w14:textId="77777777">
        <w:trPr>
          <w:trHeight w:val="374" w:hRule="exact"/>
          <w:jc w:val="center"/>
        </w:trPr>
        <w:tc>
          <w:tcPr>
            <w:tcW w:w="3594" w:type="dxa"/>
            <w:tcMar/>
            <w:vAlign w:val="center"/>
          </w:tcPr>
          <w:p w:rsidR="004777AB" w:rsidP="004777AB" w:rsidRDefault="004777AB" w14:paraId="3A191019" w14:textId="70AE6577">
            <w:pPr>
              <w:pStyle w:val="TableParagraph"/>
              <w:spacing w:line="230" w:lineRule="exact"/>
              <w:rPr>
                <w:sz w:val="20"/>
              </w:rPr>
            </w:pPr>
            <w:r>
              <w:rPr>
                <w:sz w:val="20"/>
              </w:rPr>
              <w:t>Cost Worksheet</w:t>
            </w:r>
          </w:p>
        </w:tc>
        <w:tc>
          <w:tcPr>
            <w:tcW w:w="908" w:type="dxa"/>
            <w:tcMar/>
            <w:vAlign w:val="center"/>
          </w:tcPr>
          <w:p w:rsidR="004777AB" w:rsidP="004777AB" w:rsidRDefault="003736BD" w14:paraId="6E8B6B8B" w14:textId="520A5832">
            <w:pPr>
              <w:pStyle w:val="TableParagraph"/>
              <w:spacing w:line="230" w:lineRule="exact"/>
              <w:ind w:left="0" w:right="104"/>
              <w:jc w:val="right"/>
              <w:rPr>
                <w:sz w:val="20"/>
              </w:rPr>
            </w:pPr>
            <w:r>
              <w:rPr>
                <w:sz w:val="20"/>
              </w:rPr>
              <w:t>30</w:t>
            </w:r>
            <w:r w:rsidR="004777AB">
              <w:rPr>
                <w:sz w:val="20"/>
              </w:rPr>
              <w:t>%</w:t>
            </w:r>
          </w:p>
        </w:tc>
      </w:tr>
      <w:tr w:rsidR="00D27913" w:rsidTr="38583AAE" w14:paraId="0F7610CD" w14:textId="77777777">
        <w:trPr>
          <w:trHeight w:val="590" w:hRule="exact"/>
          <w:jc w:val="center"/>
        </w:trPr>
        <w:tc>
          <w:tcPr>
            <w:tcW w:w="3594" w:type="dxa"/>
            <w:tcMar/>
            <w:vAlign w:val="center"/>
          </w:tcPr>
          <w:p w:rsidR="00D27913" w:rsidP="38583AAE" w:rsidRDefault="00D27913" w14:paraId="72A6572B" w14:textId="19195545" w14:noSpellErr="1">
            <w:pPr>
              <w:pStyle w:val="TableParagraph"/>
              <w:spacing w:line="230" w:lineRule="exact"/>
              <w:rPr>
                <w:sz w:val="20"/>
                <w:szCs w:val="20"/>
              </w:rPr>
            </w:pPr>
            <w:r w:rsidRPr="38583AAE" w:rsidR="00D27913">
              <w:rPr>
                <w:sz w:val="20"/>
                <w:szCs w:val="20"/>
              </w:rPr>
              <w:t xml:space="preserve">Offeror Qualifications </w:t>
            </w:r>
            <w:r w:rsidRPr="38583AAE" w:rsidR="00D27913">
              <w:rPr>
                <w:sz w:val="20"/>
                <w:szCs w:val="20"/>
              </w:rPr>
              <w:t>(e.g., corporate background, experience, staffing)</w:t>
            </w:r>
          </w:p>
        </w:tc>
        <w:tc>
          <w:tcPr>
            <w:tcW w:w="908" w:type="dxa"/>
            <w:tcMar/>
            <w:vAlign w:val="center"/>
          </w:tcPr>
          <w:p w:rsidR="00D27913" w:rsidP="00D27913" w:rsidRDefault="00D27913" w14:paraId="726B0A46" w14:textId="7BE8EAF0">
            <w:pPr>
              <w:pStyle w:val="TableParagraph"/>
              <w:spacing w:line="230" w:lineRule="exact"/>
              <w:ind w:left="0" w:right="104"/>
              <w:jc w:val="right"/>
              <w:rPr>
                <w:sz w:val="20"/>
              </w:rPr>
            </w:pPr>
            <w:r>
              <w:rPr>
                <w:sz w:val="20"/>
              </w:rPr>
              <w:t>15%</w:t>
            </w:r>
          </w:p>
        </w:tc>
      </w:tr>
      <w:tr w:rsidR="00D27913" w:rsidTr="38583AAE" w14:paraId="16974E07" w14:textId="77777777">
        <w:trPr>
          <w:trHeight w:val="392" w:hRule="exact"/>
          <w:jc w:val="center"/>
        </w:trPr>
        <w:tc>
          <w:tcPr>
            <w:tcW w:w="3594" w:type="dxa"/>
            <w:tcMar/>
            <w:vAlign w:val="center"/>
          </w:tcPr>
          <w:p w:rsidR="00D27913" w:rsidP="00D27913" w:rsidRDefault="00D27913" w14:paraId="77F8CB81" w14:textId="0EF756D6">
            <w:pPr>
              <w:pStyle w:val="TableParagraph"/>
              <w:spacing w:line="230" w:lineRule="exact"/>
              <w:rPr>
                <w:sz w:val="20"/>
              </w:rPr>
            </w:pPr>
            <w:r>
              <w:rPr>
                <w:sz w:val="20"/>
              </w:rPr>
              <w:t>References</w:t>
            </w:r>
          </w:p>
        </w:tc>
        <w:tc>
          <w:tcPr>
            <w:tcW w:w="908" w:type="dxa"/>
            <w:tcMar/>
            <w:vAlign w:val="center"/>
          </w:tcPr>
          <w:p w:rsidR="00D27913" w:rsidP="00D27913" w:rsidRDefault="00D27913" w14:paraId="1EA40D1A" w14:textId="41CB102E">
            <w:pPr>
              <w:pStyle w:val="TableParagraph"/>
              <w:spacing w:line="230" w:lineRule="exact"/>
              <w:ind w:left="0" w:right="104"/>
              <w:jc w:val="right"/>
              <w:rPr>
                <w:sz w:val="20"/>
              </w:rPr>
            </w:pPr>
            <w:r>
              <w:rPr>
                <w:sz w:val="20"/>
              </w:rPr>
              <w:t>10%</w:t>
            </w:r>
          </w:p>
        </w:tc>
      </w:tr>
      <w:tr w:rsidR="004777AB" w:rsidTr="38583AAE" w14:paraId="2DCBF056" w14:textId="77777777">
        <w:trPr>
          <w:trHeight w:val="356" w:hRule="exact"/>
          <w:jc w:val="center"/>
        </w:trPr>
        <w:tc>
          <w:tcPr>
            <w:tcW w:w="3594" w:type="dxa"/>
            <w:tcMar/>
            <w:vAlign w:val="center"/>
          </w:tcPr>
          <w:p w:rsidR="004777AB" w:rsidP="004777AB" w:rsidRDefault="004777AB" w14:paraId="47FDEABE" w14:textId="77777777">
            <w:pPr>
              <w:pStyle w:val="TableParagraph"/>
              <w:spacing w:line="230" w:lineRule="exact"/>
              <w:rPr>
                <w:b/>
                <w:sz w:val="20"/>
              </w:rPr>
            </w:pPr>
            <w:r>
              <w:rPr>
                <w:b/>
                <w:sz w:val="20"/>
              </w:rPr>
              <w:t>TOTAL</w:t>
            </w:r>
          </w:p>
        </w:tc>
        <w:tc>
          <w:tcPr>
            <w:tcW w:w="908" w:type="dxa"/>
            <w:tcMar/>
            <w:vAlign w:val="center"/>
          </w:tcPr>
          <w:p w:rsidR="004777AB" w:rsidP="004777AB" w:rsidRDefault="004777AB" w14:paraId="732356F5" w14:textId="1DE88B1F">
            <w:pPr>
              <w:pStyle w:val="TableParagraph"/>
              <w:spacing w:line="230" w:lineRule="exact"/>
              <w:ind w:left="0" w:right="101"/>
              <w:jc w:val="right"/>
              <w:rPr>
                <w:b/>
                <w:sz w:val="20"/>
              </w:rPr>
            </w:pPr>
            <w:r>
              <w:rPr>
                <w:b/>
                <w:w w:val="95"/>
                <w:sz w:val="20"/>
              </w:rPr>
              <w:t>10</w:t>
            </w:r>
            <w:r w:rsidR="0036422D">
              <w:rPr>
                <w:b/>
                <w:w w:val="95"/>
                <w:sz w:val="20"/>
              </w:rPr>
              <w:t>0</w:t>
            </w:r>
            <w:r>
              <w:rPr>
                <w:b/>
                <w:w w:val="95"/>
                <w:sz w:val="20"/>
              </w:rPr>
              <w:t>%</w:t>
            </w:r>
          </w:p>
        </w:tc>
      </w:tr>
    </w:tbl>
    <w:p w:rsidR="00F64C6C" w:rsidP="00F64C6C" w:rsidRDefault="00F64C6C" w14:paraId="03CFEC7C" w14:textId="77777777">
      <w:pPr>
        <w:pStyle w:val="BodyText"/>
        <w:spacing w:before="10"/>
        <w:rPr>
          <w:b/>
          <w:i/>
          <w:sz w:val="20"/>
        </w:rPr>
      </w:pPr>
    </w:p>
    <w:p w:rsidRPr="004409D5" w:rsidR="000614D4" w:rsidP="00232896" w:rsidRDefault="00232896" w14:paraId="034623F1" w14:textId="77777777">
      <w:pPr>
        <w:pStyle w:val="Heading2"/>
        <w:numPr>
          <w:ilvl w:val="1"/>
          <w:numId w:val="6"/>
        </w:numPr>
        <w:ind w:left="1541" w:hanging="907"/>
        <w:rPr>
          <w:spacing w:val="7"/>
        </w:rPr>
      </w:pPr>
      <w:bookmarkStart w:name="2.2_Offer_Submission_Overview" w:id="79"/>
      <w:bookmarkStart w:name="_bookmark43" w:id="80"/>
      <w:bookmarkStart w:name="2.3_Delivery_Instructions" w:id="81"/>
      <w:bookmarkStart w:name="_bookmark44" w:id="82"/>
      <w:bookmarkEnd w:id="79"/>
      <w:bookmarkEnd w:id="80"/>
      <w:bookmarkEnd w:id="81"/>
      <w:bookmarkEnd w:id="82"/>
      <w:r w:rsidRPr="004409D5">
        <w:rPr>
          <w:spacing w:val="7"/>
        </w:rPr>
        <w:t>Delivery Instructions</w:t>
      </w:r>
    </w:p>
    <w:p w:rsidR="000614D4" w:rsidP="009547B1" w:rsidRDefault="00232896" w14:paraId="34DD7E23" w14:textId="2D0A0F08" w14:noSpellErr="1">
      <w:pPr>
        <w:pStyle w:val="BodyText"/>
        <w:ind w:left="1587" w:right="412"/>
      </w:pPr>
      <w:r w:rsidR="00232896">
        <w:rPr/>
        <w:t xml:space="preserve">Offers shall be submitted in sealed packages, plainly marked with the Offeror’s name and with the title: </w:t>
      </w:r>
      <w:r w:rsidRPr="38583AAE" w:rsidR="00232896">
        <w:rPr>
          <w:highlight w:val="lightGray"/>
          <w:u w:val="single"/>
        </w:rPr>
        <w:t>Requisition 2</w:t>
      </w:r>
      <w:r w:rsidRPr="38583AAE" w:rsidR="00484BB2">
        <w:rPr>
          <w:highlight w:val="lightGray"/>
          <w:u w:val="single"/>
        </w:rPr>
        <w:t>3</w:t>
      </w:r>
      <w:r w:rsidRPr="38583AAE" w:rsidR="00232896">
        <w:rPr>
          <w:highlight w:val="lightGray"/>
          <w:u w:val="single"/>
        </w:rPr>
        <w:t>-0</w:t>
      </w:r>
      <w:r w:rsidRPr="38583AAE" w:rsidR="00484BB2">
        <w:rPr>
          <w:highlight w:val="lightGray"/>
          <w:u w:val="single"/>
        </w:rPr>
        <w:t>1</w:t>
      </w:r>
      <w:r w:rsidRPr="38583AAE" w:rsidR="009C1E33">
        <w:rPr>
          <w:highlight w:val="lightGray"/>
          <w:u w:val="single"/>
        </w:rPr>
        <w:t>:</w:t>
      </w:r>
      <w:r w:rsidRPr="38583AAE" w:rsidR="00232896">
        <w:rPr>
          <w:highlight w:val="lightGray"/>
          <w:u w:val="single"/>
        </w:rPr>
        <w:t xml:space="preserve"> </w:t>
      </w:r>
      <w:r w:rsidRPr="38583AAE" w:rsidR="00484BB2">
        <w:rPr>
          <w:highlight w:val="lightGray"/>
          <w:u w:val="single"/>
        </w:rPr>
        <w:t>Proposal for Family Court Inclusion Project</w:t>
      </w:r>
      <w:r w:rsidR="00232896">
        <w:rPr/>
        <w:t xml:space="preserve"> clearly written on the face of the package. Offers must be sent by mail or delivered in person. Printed, emailed, or faxed copies of offers are not allowed and will not be considered.</w:t>
      </w:r>
    </w:p>
    <w:p w:rsidR="000614D4" w:rsidP="009547B1" w:rsidRDefault="00232896" w14:paraId="32A47945" w14:textId="66927591">
      <w:pPr>
        <w:pStyle w:val="BodyText"/>
        <w:ind w:left="1587" w:right="412"/>
      </w:pPr>
      <w:r>
        <w:t xml:space="preserve">Offers must be delivered to AOC’s Designated Contact at the appropriate address provided in </w:t>
      </w:r>
      <w:r w:rsidR="009C1E33">
        <w:t>the table below</w:t>
      </w:r>
      <w:r>
        <w:t xml:space="preserve"> by the date and time specified in the Anticipated Procurement Event Schedule</w:t>
      </w:r>
      <w:r w:rsidR="009C1E33">
        <w:t>:</w:t>
      </w:r>
    </w:p>
    <w:p w:rsidR="000614D4" w:rsidRDefault="000614D4" w14:paraId="0FCD32E7" w14:textId="279EB328">
      <w:pPr>
        <w:ind w:left="1319"/>
        <w:rPr>
          <w:b/>
          <w:i/>
          <w:sz w:val="18"/>
        </w:rPr>
      </w:pPr>
    </w:p>
    <w:p w:rsidR="000614D4" w:rsidRDefault="000614D4" w14:paraId="4E267147" w14:textId="77777777">
      <w:pPr>
        <w:pStyle w:val="BodyText"/>
        <w:spacing w:before="0"/>
        <w:rPr>
          <w:b/>
          <w:i/>
          <w:sz w:val="20"/>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0"/>
        <w:gridCol w:w="3002"/>
        <w:gridCol w:w="3388"/>
      </w:tblGrid>
      <w:tr w:rsidR="000614D4" w:rsidTr="009C1E33" w14:paraId="01B31C6B" w14:textId="77777777">
        <w:trPr>
          <w:trHeight w:val="475" w:hRule="exact"/>
          <w:jc w:val="center"/>
        </w:trPr>
        <w:tc>
          <w:tcPr>
            <w:tcW w:w="2790" w:type="dxa"/>
            <w:tcBorders>
              <w:top w:val="single" w:color="000000" w:sz="4" w:space="0"/>
              <w:left w:val="single" w:color="000000" w:sz="4" w:space="0"/>
              <w:right w:val="single" w:color="000000" w:sz="4" w:space="0"/>
            </w:tcBorders>
            <w:shd w:val="clear" w:color="auto" w:fill="B8CCE4" w:themeFill="accent1" w:themeFillTint="66"/>
          </w:tcPr>
          <w:p w:rsidRPr="009C1E33" w:rsidR="000614D4" w:rsidP="009C1E33" w:rsidRDefault="00232896" w14:paraId="33D494D3" w14:textId="77777777">
            <w:pPr>
              <w:pStyle w:val="TableParagraph"/>
              <w:spacing w:before="119"/>
              <w:ind w:left="0"/>
              <w:jc w:val="center"/>
              <w:rPr>
                <w:b/>
                <w:color w:val="000000" w:themeColor="text1"/>
                <w:sz w:val="20"/>
              </w:rPr>
            </w:pPr>
            <w:r w:rsidRPr="009C1E33">
              <w:rPr>
                <w:b/>
                <w:color w:val="000000" w:themeColor="text1"/>
                <w:sz w:val="20"/>
              </w:rPr>
              <w:t>US Postal Service</w:t>
            </w:r>
          </w:p>
        </w:tc>
        <w:tc>
          <w:tcPr>
            <w:tcW w:w="3002" w:type="dxa"/>
            <w:tcBorders>
              <w:top w:val="single" w:color="000000" w:sz="4" w:space="0"/>
              <w:left w:val="single" w:color="000000" w:sz="4" w:space="0"/>
              <w:right w:val="single" w:color="000000" w:sz="4" w:space="0"/>
            </w:tcBorders>
            <w:shd w:val="clear" w:color="auto" w:fill="B8CCE4" w:themeFill="accent1" w:themeFillTint="66"/>
          </w:tcPr>
          <w:p w:rsidRPr="009C1E33" w:rsidR="000614D4" w:rsidP="009C1E33" w:rsidRDefault="00232896" w14:paraId="7D5E28EF" w14:textId="77777777">
            <w:pPr>
              <w:pStyle w:val="TableParagraph"/>
              <w:spacing w:before="119"/>
              <w:ind w:left="0"/>
              <w:jc w:val="center"/>
              <w:rPr>
                <w:b/>
                <w:color w:val="000000" w:themeColor="text1"/>
                <w:sz w:val="20"/>
              </w:rPr>
            </w:pPr>
            <w:r w:rsidRPr="009C1E33">
              <w:rPr>
                <w:b/>
                <w:color w:val="000000" w:themeColor="text1"/>
                <w:sz w:val="20"/>
              </w:rPr>
              <w:t>Overnight / Express Mail</w:t>
            </w:r>
          </w:p>
        </w:tc>
        <w:tc>
          <w:tcPr>
            <w:tcW w:w="3388" w:type="dxa"/>
            <w:tcBorders>
              <w:top w:val="single" w:color="000000" w:sz="4" w:space="0"/>
              <w:left w:val="single" w:color="000000" w:sz="4" w:space="0"/>
              <w:right w:val="single" w:color="000000" w:sz="4" w:space="0"/>
            </w:tcBorders>
            <w:shd w:val="clear" w:color="auto" w:fill="B8CCE4" w:themeFill="accent1" w:themeFillTint="66"/>
          </w:tcPr>
          <w:p w:rsidRPr="009C1E33" w:rsidR="000614D4" w:rsidRDefault="00232896" w14:paraId="20554134" w14:textId="77777777">
            <w:pPr>
              <w:pStyle w:val="TableParagraph"/>
              <w:spacing w:before="119"/>
              <w:ind w:left="1034"/>
              <w:rPr>
                <w:b/>
                <w:color w:val="000000" w:themeColor="text1"/>
                <w:sz w:val="20"/>
              </w:rPr>
            </w:pPr>
            <w:r w:rsidRPr="009C1E33">
              <w:rPr>
                <w:b/>
                <w:color w:val="000000" w:themeColor="text1"/>
                <w:sz w:val="20"/>
              </w:rPr>
              <w:t>Hand Delivery</w:t>
            </w:r>
          </w:p>
        </w:tc>
      </w:tr>
      <w:tr w:rsidR="000614D4" w:rsidTr="009C1E33" w14:paraId="2C2B17FD" w14:textId="77777777">
        <w:trPr>
          <w:trHeight w:val="2372" w:hRule="exact"/>
          <w:jc w:val="center"/>
        </w:trPr>
        <w:tc>
          <w:tcPr>
            <w:tcW w:w="2790" w:type="dxa"/>
          </w:tcPr>
          <w:p w:rsidR="005114EC" w:rsidP="005114EC" w:rsidRDefault="00232896" w14:paraId="20B30978" w14:textId="77777777">
            <w:pPr>
              <w:pStyle w:val="TableParagraph"/>
              <w:spacing w:before="119" w:line="364" w:lineRule="auto"/>
              <w:ind w:right="45"/>
              <w:rPr>
                <w:sz w:val="20"/>
              </w:rPr>
            </w:pPr>
            <w:r>
              <w:rPr>
                <w:sz w:val="20"/>
              </w:rPr>
              <w:t xml:space="preserve">Office of Court Administration </w:t>
            </w:r>
          </w:p>
          <w:p w:rsidR="000614D4" w:rsidP="005114EC" w:rsidRDefault="00232896" w14:paraId="4F55F502" w14:textId="25B80C0D">
            <w:pPr>
              <w:pStyle w:val="TableParagraph"/>
              <w:spacing w:before="119" w:line="364" w:lineRule="auto"/>
              <w:ind w:right="45"/>
              <w:rPr>
                <w:sz w:val="20"/>
              </w:rPr>
            </w:pPr>
            <w:r>
              <w:rPr>
                <w:sz w:val="20"/>
              </w:rPr>
              <w:t>Attn: Justin Bell</w:t>
            </w:r>
          </w:p>
          <w:p w:rsidR="000614D4" w:rsidRDefault="00232896" w14:paraId="2FA53A27" w14:textId="77777777">
            <w:pPr>
              <w:pStyle w:val="TableParagraph"/>
              <w:spacing w:before="3" w:line="364" w:lineRule="auto"/>
              <w:ind w:right="944"/>
              <w:rPr>
                <w:sz w:val="20"/>
              </w:rPr>
            </w:pPr>
            <w:r>
              <w:rPr>
                <w:sz w:val="20"/>
              </w:rPr>
              <w:t>408 East Clark Avenue Las Vegas, NV 89101</w:t>
            </w:r>
          </w:p>
        </w:tc>
        <w:tc>
          <w:tcPr>
            <w:tcW w:w="3002" w:type="dxa"/>
          </w:tcPr>
          <w:p w:rsidR="009C1E33" w:rsidP="009C1E33" w:rsidRDefault="00232896" w14:paraId="03300D0B" w14:textId="77777777">
            <w:pPr>
              <w:pStyle w:val="TableParagraph"/>
              <w:spacing w:before="119" w:line="364" w:lineRule="auto"/>
              <w:ind w:right="-60"/>
              <w:rPr>
                <w:sz w:val="20"/>
              </w:rPr>
            </w:pPr>
            <w:r>
              <w:rPr>
                <w:sz w:val="20"/>
              </w:rPr>
              <w:t xml:space="preserve">Office of Court Administration </w:t>
            </w:r>
          </w:p>
          <w:p w:rsidR="000614D4" w:rsidP="009C1E33" w:rsidRDefault="00232896" w14:paraId="70B4AE46" w14:textId="673F51BF">
            <w:pPr>
              <w:pStyle w:val="TableParagraph"/>
              <w:spacing w:before="119" w:line="364" w:lineRule="auto"/>
              <w:ind w:right="-60"/>
              <w:rPr>
                <w:sz w:val="20"/>
              </w:rPr>
            </w:pPr>
            <w:r>
              <w:rPr>
                <w:sz w:val="20"/>
              </w:rPr>
              <w:t>Attn: Justin Bell</w:t>
            </w:r>
          </w:p>
          <w:p w:rsidR="000614D4" w:rsidRDefault="00232896" w14:paraId="5E8EB7E7" w14:textId="77777777">
            <w:pPr>
              <w:pStyle w:val="TableParagraph"/>
              <w:spacing w:before="3" w:line="364" w:lineRule="auto"/>
              <w:ind w:right="947"/>
              <w:rPr>
                <w:sz w:val="20"/>
              </w:rPr>
            </w:pPr>
            <w:r>
              <w:rPr>
                <w:sz w:val="20"/>
              </w:rPr>
              <w:t>408 East Clark Avenue Las Vegas, NV 89101</w:t>
            </w:r>
          </w:p>
        </w:tc>
        <w:tc>
          <w:tcPr>
            <w:tcW w:w="3388" w:type="dxa"/>
          </w:tcPr>
          <w:p w:rsidR="000614D4" w:rsidRDefault="00232896" w14:paraId="2431F827" w14:textId="77777777">
            <w:pPr>
              <w:pStyle w:val="TableParagraph"/>
              <w:spacing w:before="119" w:line="364" w:lineRule="auto"/>
              <w:ind w:right="660"/>
              <w:rPr>
                <w:sz w:val="20"/>
              </w:rPr>
            </w:pPr>
            <w:r>
              <w:rPr>
                <w:sz w:val="20"/>
              </w:rPr>
              <w:t>Office of Court Administration Attn: Justin Bell</w:t>
            </w:r>
          </w:p>
          <w:p w:rsidR="000614D4" w:rsidRDefault="00232896" w14:paraId="2C09C4D7" w14:textId="77777777">
            <w:pPr>
              <w:pStyle w:val="TableParagraph"/>
              <w:spacing w:before="3" w:line="364" w:lineRule="auto"/>
              <w:ind w:right="944"/>
              <w:rPr>
                <w:sz w:val="20"/>
              </w:rPr>
            </w:pPr>
            <w:r>
              <w:rPr>
                <w:sz w:val="20"/>
              </w:rPr>
              <w:t>408 East Clark Avenue Las Vegas, NV 89101</w:t>
            </w:r>
          </w:p>
          <w:p w:rsidR="000614D4" w:rsidRDefault="00232896" w14:paraId="0DD12953" w14:textId="77777777">
            <w:pPr>
              <w:pStyle w:val="TableParagraph"/>
              <w:spacing w:before="111"/>
              <w:ind w:right="282"/>
              <w:rPr>
                <w:sz w:val="20"/>
              </w:rPr>
            </w:pPr>
            <w:r>
              <w:rPr>
                <w:sz w:val="20"/>
              </w:rPr>
              <w:t xml:space="preserve">To arrange hand delivery of an offer, please contact Justin Bell at </w:t>
            </w:r>
            <w:hyperlink r:id="rId14">
              <w:r>
                <w:rPr>
                  <w:sz w:val="20"/>
                </w:rPr>
                <w:t>contracts@nvcourts.nv.gov.</w:t>
              </w:r>
            </w:hyperlink>
          </w:p>
        </w:tc>
      </w:tr>
    </w:tbl>
    <w:p w:rsidR="000614D4" w:rsidP="0088421E" w:rsidRDefault="000614D4" w14:paraId="2C7EFBDF" w14:textId="77777777">
      <w:pPr>
        <w:pStyle w:val="BodyText"/>
        <w:spacing w:before="0"/>
        <w:rPr>
          <w:b/>
          <w:i/>
          <w:sz w:val="20"/>
        </w:rPr>
      </w:pPr>
    </w:p>
    <w:sectPr w:rsidR="000614D4" w:rsidSect="004777AB">
      <w:footerReference w:type="default" r:id="rId15"/>
      <w:pgSz w:w="12240" w:h="15840" w:orient="portrait"/>
      <w:pgMar w:top="1220" w:right="860" w:bottom="1280" w:left="860" w:header="819" w:footer="288"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1C0" w:rsidRDefault="000F51C0" w14:paraId="0DBB8457" w14:textId="77777777">
      <w:r>
        <w:separator/>
      </w:r>
    </w:p>
  </w:endnote>
  <w:endnote w:type="continuationSeparator" w:id="0">
    <w:p w:rsidR="000F51C0" w:rsidRDefault="000F51C0" w14:paraId="7D0EC2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4392"/>
      <w:docPartObj>
        <w:docPartGallery w:val="Page Numbers (Bottom of Page)"/>
        <w:docPartUnique/>
      </w:docPartObj>
    </w:sdtPr>
    <w:sdtContent>
      <w:sdt>
        <w:sdtPr>
          <w:id w:val="-1769616900"/>
          <w:docPartObj>
            <w:docPartGallery w:val="Page Numbers (Top of Page)"/>
            <w:docPartUnique/>
          </w:docPartObj>
        </w:sdtPr>
        <w:sdtContent>
          <w:p w:rsidR="0086123C" w:rsidRDefault="0086123C" w14:paraId="36E8D3FE" w14:textId="0331EF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6123C" w:rsidRDefault="0086123C" w14:paraId="4618A4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53475"/>
      <w:docPartObj>
        <w:docPartGallery w:val="Page Numbers (Bottom of Page)"/>
        <w:docPartUnique/>
      </w:docPartObj>
    </w:sdtPr>
    <w:sdtEndPr>
      <w:rPr>
        <w:noProof/>
      </w:rPr>
    </w:sdtEndPr>
    <w:sdtContent>
      <w:p w:rsidR="0086123C" w:rsidP="0086123C" w:rsidRDefault="0086123C" w14:paraId="6872E93C" w14:textId="0B74CBAB">
        <w:pPr>
          <w:pStyle w:val="Footer"/>
          <w:jc w:val="right"/>
        </w:pPr>
        <w:r w:rsidRPr="0086123C">
          <w:t xml:space="preserve"> </w:t>
        </w:r>
        <w:sdt>
          <w:sdtPr>
            <w:id w:val="-1144659214"/>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sdtContent>
        </w:sdt>
      </w:p>
      <w:p w:rsidR="0086123C" w:rsidRDefault="00000000" w14:paraId="211F0DF9" w14:textId="1B6A95D0">
        <w:pPr>
          <w:pStyle w:val="Footer"/>
          <w:jc w:val="right"/>
        </w:pPr>
      </w:p>
    </w:sdtContent>
  </w:sdt>
  <w:p w:rsidR="000614D4" w:rsidRDefault="000614D4" w14:paraId="0789288F" w14:textId="342F9976">
    <w:pPr>
      <w:pStyle w:val="BodyText"/>
      <w:spacing w:before="0"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009519"/>
      <w:docPartObj>
        <w:docPartGallery w:val="Page Numbers (Bottom of Page)"/>
        <w:docPartUnique/>
      </w:docPartObj>
    </w:sdtPr>
    <w:sdtEndPr>
      <w:rPr>
        <w:noProof/>
      </w:rPr>
    </w:sdtEndPr>
    <w:sdtContent>
      <w:sdt>
        <w:sdtPr>
          <w:id w:val="1378125647"/>
          <w:docPartObj>
            <w:docPartGallery w:val="Page Numbers (Top of Page)"/>
            <w:docPartUnique/>
          </w:docPartObj>
        </w:sdtPr>
        <w:sdtContent>
          <w:p w:rsidR="0086123C" w:rsidP="0086123C" w:rsidRDefault="0086123C" w14:paraId="1EC980AE"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rsidR="0086123C" w:rsidRDefault="00000000" w14:paraId="1207E933" w14:textId="335A4BC8">
        <w:pPr>
          <w:pStyle w:val="Footer"/>
          <w:jc w:val="right"/>
        </w:pPr>
      </w:p>
    </w:sdtContent>
  </w:sdt>
  <w:p w:rsidR="000614D4" w:rsidRDefault="000614D4" w14:paraId="703C808D" w14:textId="7FA903E8">
    <w:pPr>
      <w:pStyle w:val="BodyText"/>
      <w:spacing w:before="0"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57851"/>
      <w:docPartObj>
        <w:docPartGallery w:val="Page Numbers (Bottom of Page)"/>
        <w:docPartUnique/>
      </w:docPartObj>
    </w:sdtPr>
    <w:sdtContent>
      <w:sdt>
        <w:sdtPr>
          <w:id w:val="-1659224909"/>
          <w:docPartObj>
            <w:docPartGallery w:val="Page Numbers (Top of Page)"/>
            <w:docPartUnique/>
          </w:docPartObj>
        </w:sdtPr>
        <w:sdtContent>
          <w:p w:rsidR="004777AB" w:rsidRDefault="004777AB" w14:paraId="007D7643" w14:textId="57CDB8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614D4" w:rsidRDefault="000614D4" w14:paraId="50C2EBD8" w14:textId="36A5DB1E">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1C0" w:rsidRDefault="000F51C0" w14:paraId="0B83B79C" w14:textId="77777777">
      <w:r>
        <w:separator/>
      </w:r>
    </w:p>
  </w:footnote>
  <w:footnote w:type="continuationSeparator" w:id="0">
    <w:p w:rsidR="000F51C0" w:rsidRDefault="000F51C0" w14:paraId="254683F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774"/>
    <w:multiLevelType w:val="multilevel"/>
    <w:tmpl w:val="9DC870CA"/>
    <w:lvl w:ilvl="0">
      <w:start w:val="1"/>
      <w:numFmt w:val="decimal"/>
      <w:lvlText w:val="%1"/>
      <w:lvlJc w:val="left"/>
      <w:pPr>
        <w:ind w:left="1319" w:hanging="908"/>
      </w:pPr>
      <w:rPr>
        <w:rFonts w:hint="default"/>
      </w:rPr>
    </w:lvl>
    <w:lvl w:ilvl="1">
      <w:numFmt w:val="decimal"/>
      <w:lvlText w:val="%1.%2"/>
      <w:lvlJc w:val="left"/>
      <w:pPr>
        <w:ind w:left="1319" w:hanging="908"/>
      </w:pPr>
      <w:rPr>
        <w:rFonts w:hint="default" w:ascii="Arial" w:hAnsi="Arial" w:eastAsia="Arial" w:cs="Arial"/>
        <w:b/>
        <w:bCs/>
        <w:spacing w:val="0"/>
        <w:w w:val="100"/>
        <w:sz w:val="24"/>
        <w:szCs w:val="24"/>
      </w:rPr>
    </w:lvl>
    <w:lvl w:ilvl="2">
      <w:start w:val="1"/>
      <w:numFmt w:val="decimal"/>
      <w:lvlText w:val="1.%3"/>
      <w:lvlJc w:val="left"/>
      <w:pPr>
        <w:ind w:left="1055" w:hanging="360"/>
      </w:pPr>
      <w:rPr>
        <w:rFonts w:hint="default"/>
      </w:rPr>
    </w:lvl>
    <w:lvl w:ilvl="3">
      <w:numFmt w:val="bullet"/>
      <w:lvlText w:val=""/>
      <w:lvlJc w:val="left"/>
      <w:pPr>
        <w:ind w:left="2309" w:hanging="361"/>
      </w:pPr>
      <w:rPr>
        <w:rFonts w:hint="default" w:ascii="Symbol" w:hAnsi="Symbol" w:eastAsia="Symbol" w:cs="Symbol"/>
        <w:w w:val="100"/>
        <w:sz w:val="22"/>
        <w:szCs w:val="22"/>
      </w:rPr>
    </w:lvl>
    <w:lvl w:ilvl="4">
      <w:numFmt w:val="bullet"/>
      <w:lvlText w:val="•"/>
      <w:lvlJc w:val="left"/>
      <w:pPr>
        <w:ind w:left="4355" w:hanging="361"/>
      </w:pPr>
      <w:rPr>
        <w:rFonts w:hint="default"/>
      </w:rPr>
    </w:lvl>
    <w:lvl w:ilvl="5">
      <w:numFmt w:val="bullet"/>
      <w:lvlText w:val="•"/>
      <w:lvlJc w:val="left"/>
      <w:pPr>
        <w:ind w:left="5382" w:hanging="361"/>
      </w:pPr>
      <w:rPr>
        <w:rFonts w:hint="default"/>
      </w:rPr>
    </w:lvl>
    <w:lvl w:ilvl="6">
      <w:numFmt w:val="bullet"/>
      <w:lvlText w:val="•"/>
      <w:lvlJc w:val="left"/>
      <w:pPr>
        <w:ind w:left="6410" w:hanging="361"/>
      </w:pPr>
      <w:rPr>
        <w:rFonts w:hint="default"/>
      </w:rPr>
    </w:lvl>
    <w:lvl w:ilvl="7">
      <w:numFmt w:val="bullet"/>
      <w:lvlText w:val="•"/>
      <w:lvlJc w:val="left"/>
      <w:pPr>
        <w:ind w:left="7437" w:hanging="361"/>
      </w:pPr>
      <w:rPr>
        <w:rFonts w:hint="default"/>
      </w:rPr>
    </w:lvl>
    <w:lvl w:ilvl="8">
      <w:numFmt w:val="bullet"/>
      <w:lvlText w:val="•"/>
      <w:lvlJc w:val="left"/>
      <w:pPr>
        <w:ind w:left="8465" w:hanging="361"/>
      </w:pPr>
      <w:rPr>
        <w:rFonts w:hint="default"/>
      </w:rPr>
    </w:lvl>
  </w:abstractNum>
  <w:abstractNum w:abstractNumId="1" w15:restartNumberingAfterBreak="0">
    <w:nsid w:val="21A86009"/>
    <w:multiLevelType w:val="hybridMultilevel"/>
    <w:tmpl w:val="24C88BD4"/>
    <w:lvl w:ilvl="0" w:tplc="04090001">
      <w:start w:val="1"/>
      <w:numFmt w:val="bullet"/>
      <w:lvlText w:val=""/>
      <w:lvlJc w:val="left"/>
      <w:pPr>
        <w:ind w:left="2307" w:hanging="360"/>
      </w:pPr>
      <w:rPr>
        <w:rFonts w:hint="default" w:ascii="Symbol" w:hAnsi="Symbol"/>
      </w:rPr>
    </w:lvl>
    <w:lvl w:ilvl="1" w:tplc="04090003" w:tentative="1">
      <w:start w:val="1"/>
      <w:numFmt w:val="bullet"/>
      <w:lvlText w:val="o"/>
      <w:lvlJc w:val="left"/>
      <w:pPr>
        <w:ind w:left="3027" w:hanging="360"/>
      </w:pPr>
      <w:rPr>
        <w:rFonts w:hint="default" w:ascii="Courier New" w:hAnsi="Courier New" w:cs="Courier New"/>
      </w:rPr>
    </w:lvl>
    <w:lvl w:ilvl="2" w:tplc="04090005" w:tentative="1">
      <w:start w:val="1"/>
      <w:numFmt w:val="bullet"/>
      <w:lvlText w:val=""/>
      <w:lvlJc w:val="left"/>
      <w:pPr>
        <w:ind w:left="3747" w:hanging="360"/>
      </w:pPr>
      <w:rPr>
        <w:rFonts w:hint="default" w:ascii="Wingdings" w:hAnsi="Wingdings"/>
      </w:rPr>
    </w:lvl>
    <w:lvl w:ilvl="3" w:tplc="04090001" w:tentative="1">
      <w:start w:val="1"/>
      <w:numFmt w:val="bullet"/>
      <w:lvlText w:val=""/>
      <w:lvlJc w:val="left"/>
      <w:pPr>
        <w:ind w:left="4467" w:hanging="360"/>
      </w:pPr>
      <w:rPr>
        <w:rFonts w:hint="default" w:ascii="Symbol" w:hAnsi="Symbol"/>
      </w:rPr>
    </w:lvl>
    <w:lvl w:ilvl="4" w:tplc="04090003" w:tentative="1">
      <w:start w:val="1"/>
      <w:numFmt w:val="bullet"/>
      <w:lvlText w:val="o"/>
      <w:lvlJc w:val="left"/>
      <w:pPr>
        <w:ind w:left="5187" w:hanging="360"/>
      </w:pPr>
      <w:rPr>
        <w:rFonts w:hint="default" w:ascii="Courier New" w:hAnsi="Courier New" w:cs="Courier New"/>
      </w:rPr>
    </w:lvl>
    <w:lvl w:ilvl="5" w:tplc="04090005" w:tentative="1">
      <w:start w:val="1"/>
      <w:numFmt w:val="bullet"/>
      <w:lvlText w:val=""/>
      <w:lvlJc w:val="left"/>
      <w:pPr>
        <w:ind w:left="5907" w:hanging="360"/>
      </w:pPr>
      <w:rPr>
        <w:rFonts w:hint="default" w:ascii="Wingdings" w:hAnsi="Wingdings"/>
      </w:rPr>
    </w:lvl>
    <w:lvl w:ilvl="6" w:tplc="04090001" w:tentative="1">
      <w:start w:val="1"/>
      <w:numFmt w:val="bullet"/>
      <w:lvlText w:val=""/>
      <w:lvlJc w:val="left"/>
      <w:pPr>
        <w:ind w:left="6627" w:hanging="360"/>
      </w:pPr>
      <w:rPr>
        <w:rFonts w:hint="default" w:ascii="Symbol" w:hAnsi="Symbol"/>
      </w:rPr>
    </w:lvl>
    <w:lvl w:ilvl="7" w:tplc="04090003" w:tentative="1">
      <w:start w:val="1"/>
      <w:numFmt w:val="bullet"/>
      <w:lvlText w:val="o"/>
      <w:lvlJc w:val="left"/>
      <w:pPr>
        <w:ind w:left="7347" w:hanging="360"/>
      </w:pPr>
      <w:rPr>
        <w:rFonts w:hint="default" w:ascii="Courier New" w:hAnsi="Courier New" w:cs="Courier New"/>
      </w:rPr>
    </w:lvl>
    <w:lvl w:ilvl="8" w:tplc="04090005" w:tentative="1">
      <w:start w:val="1"/>
      <w:numFmt w:val="bullet"/>
      <w:lvlText w:val=""/>
      <w:lvlJc w:val="left"/>
      <w:pPr>
        <w:ind w:left="8067" w:hanging="360"/>
      </w:pPr>
      <w:rPr>
        <w:rFonts w:hint="default" w:ascii="Wingdings" w:hAnsi="Wingdings"/>
      </w:rPr>
    </w:lvl>
  </w:abstractNum>
  <w:abstractNum w:abstractNumId="2" w15:restartNumberingAfterBreak="0">
    <w:nsid w:val="244D471E"/>
    <w:multiLevelType w:val="multilevel"/>
    <w:tmpl w:val="55F62876"/>
    <w:lvl w:ilvl="0">
      <w:start w:val="2"/>
      <w:numFmt w:val="decimal"/>
      <w:lvlText w:val="%1"/>
      <w:lvlJc w:val="left"/>
      <w:pPr>
        <w:ind w:left="1319" w:hanging="908"/>
      </w:pPr>
      <w:rPr>
        <w:rFonts w:hint="default"/>
      </w:rPr>
    </w:lvl>
    <w:lvl w:ilvl="1">
      <w:start w:val="1"/>
      <w:numFmt w:val="decimal"/>
      <w:lvlText w:val="5.%2"/>
      <w:lvlJc w:val="left"/>
      <w:pPr>
        <w:ind w:left="771" w:hanging="360"/>
      </w:pPr>
      <w:rPr>
        <w:rFonts w:hint="default"/>
      </w:rPr>
    </w:lvl>
    <w:lvl w:ilvl="2">
      <w:numFmt w:val="bullet"/>
      <w:lvlText w:val=""/>
      <w:lvlJc w:val="left"/>
      <w:pPr>
        <w:ind w:left="2039" w:hanging="361"/>
      </w:pPr>
      <w:rPr>
        <w:rFonts w:hint="default" w:ascii="Symbol" w:hAnsi="Symbol" w:eastAsia="Symbol" w:cs="Symbol"/>
        <w:w w:val="100"/>
        <w:sz w:val="22"/>
        <w:szCs w:val="22"/>
      </w:rPr>
    </w:lvl>
    <w:lvl w:ilvl="3">
      <w:numFmt w:val="bullet"/>
      <w:lvlText w:val="•"/>
      <w:lvlJc w:val="left"/>
      <w:pPr>
        <w:ind w:left="3924" w:hanging="361"/>
      </w:pPr>
      <w:rPr>
        <w:rFonts w:hint="default"/>
      </w:rPr>
    </w:lvl>
    <w:lvl w:ilvl="4">
      <w:numFmt w:val="bullet"/>
      <w:lvlText w:val="•"/>
      <w:lvlJc w:val="left"/>
      <w:pPr>
        <w:ind w:left="4866" w:hanging="361"/>
      </w:pPr>
      <w:rPr>
        <w:rFonts w:hint="default"/>
      </w:rPr>
    </w:lvl>
    <w:lvl w:ilvl="5">
      <w:numFmt w:val="bullet"/>
      <w:lvlText w:val="•"/>
      <w:lvlJc w:val="left"/>
      <w:pPr>
        <w:ind w:left="5808" w:hanging="361"/>
      </w:pPr>
      <w:rPr>
        <w:rFonts w:hint="default"/>
      </w:rPr>
    </w:lvl>
    <w:lvl w:ilvl="6">
      <w:numFmt w:val="bullet"/>
      <w:lvlText w:val="•"/>
      <w:lvlJc w:val="left"/>
      <w:pPr>
        <w:ind w:left="6751" w:hanging="361"/>
      </w:pPr>
      <w:rPr>
        <w:rFonts w:hint="default"/>
      </w:rPr>
    </w:lvl>
    <w:lvl w:ilvl="7">
      <w:numFmt w:val="bullet"/>
      <w:lvlText w:val="•"/>
      <w:lvlJc w:val="left"/>
      <w:pPr>
        <w:ind w:left="7693" w:hanging="361"/>
      </w:pPr>
      <w:rPr>
        <w:rFonts w:hint="default"/>
      </w:rPr>
    </w:lvl>
    <w:lvl w:ilvl="8">
      <w:numFmt w:val="bullet"/>
      <w:lvlText w:val="•"/>
      <w:lvlJc w:val="left"/>
      <w:pPr>
        <w:ind w:left="8635" w:hanging="361"/>
      </w:pPr>
      <w:rPr>
        <w:rFonts w:hint="default"/>
      </w:rPr>
    </w:lvl>
  </w:abstractNum>
  <w:abstractNum w:abstractNumId="3" w15:restartNumberingAfterBreak="0">
    <w:nsid w:val="2DBF456A"/>
    <w:multiLevelType w:val="multilevel"/>
    <w:tmpl w:val="45D0C924"/>
    <w:lvl w:ilvl="0">
      <w:start w:val="2"/>
      <w:numFmt w:val="decimal"/>
      <w:lvlText w:val="%1"/>
      <w:lvlJc w:val="left"/>
      <w:pPr>
        <w:ind w:left="1319" w:hanging="908"/>
      </w:pPr>
      <w:rPr>
        <w:rFonts w:hint="default"/>
      </w:rPr>
    </w:lvl>
    <w:lvl w:ilvl="1">
      <w:start w:val="1"/>
      <w:numFmt w:val="decimal"/>
      <w:lvlText w:val="4.%2"/>
      <w:lvlJc w:val="left"/>
      <w:pPr>
        <w:ind w:left="771" w:hanging="360"/>
      </w:pPr>
      <w:rPr>
        <w:rFonts w:hint="default"/>
      </w:rPr>
    </w:lvl>
    <w:lvl w:ilvl="2">
      <w:numFmt w:val="bullet"/>
      <w:lvlText w:val=""/>
      <w:lvlJc w:val="left"/>
      <w:pPr>
        <w:ind w:left="2039" w:hanging="361"/>
      </w:pPr>
      <w:rPr>
        <w:rFonts w:hint="default" w:ascii="Symbol" w:hAnsi="Symbol" w:eastAsia="Symbol" w:cs="Symbol"/>
        <w:w w:val="100"/>
        <w:sz w:val="22"/>
        <w:szCs w:val="22"/>
      </w:rPr>
    </w:lvl>
    <w:lvl w:ilvl="3">
      <w:numFmt w:val="bullet"/>
      <w:lvlText w:val="•"/>
      <w:lvlJc w:val="left"/>
      <w:pPr>
        <w:ind w:left="3924" w:hanging="361"/>
      </w:pPr>
      <w:rPr>
        <w:rFonts w:hint="default"/>
      </w:rPr>
    </w:lvl>
    <w:lvl w:ilvl="4">
      <w:numFmt w:val="bullet"/>
      <w:lvlText w:val="•"/>
      <w:lvlJc w:val="left"/>
      <w:pPr>
        <w:ind w:left="4866" w:hanging="361"/>
      </w:pPr>
      <w:rPr>
        <w:rFonts w:hint="default"/>
      </w:rPr>
    </w:lvl>
    <w:lvl w:ilvl="5">
      <w:numFmt w:val="bullet"/>
      <w:lvlText w:val="•"/>
      <w:lvlJc w:val="left"/>
      <w:pPr>
        <w:ind w:left="5808" w:hanging="361"/>
      </w:pPr>
      <w:rPr>
        <w:rFonts w:hint="default"/>
      </w:rPr>
    </w:lvl>
    <w:lvl w:ilvl="6">
      <w:numFmt w:val="bullet"/>
      <w:lvlText w:val="•"/>
      <w:lvlJc w:val="left"/>
      <w:pPr>
        <w:ind w:left="6751" w:hanging="361"/>
      </w:pPr>
      <w:rPr>
        <w:rFonts w:hint="default"/>
      </w:rPr>
    </w:lvl>
    <w:lvl w:ilvl="7">
      <w:numFmt w:val="bullet"/>
      <w:lvlText w:val="•"/>
      <w:lvlJc w:val="left"/>
      <w:pPr>
        <w:ind w:left="7693" w:hanging="361"/>
      </w:pPr>
      <w:rPr>
        <w:rFonts w:hint="default"/>
      </w:rPr>
    </w:lvl>
    <w:lvl w:ilvl="8">
      <w:numFmt w:val="bullet"/>
      <w:lvlText w:val="•"/>
      <w:lvlJc w:val="left"/>
      <w:pPr>
        <w:ind w:left="8635" w:hanging="361"/>
      </w:pPr>
      <w:rPr>
        <w:rFonts w:hint="default"/>
      </w:rPr>
    </w:lvl>
  </w:abstractNum>
  <w:abstractNum w:abstractNumId="4" w15:restartNumberingAfterBreak="0">
    <w:nsid w:val="2E5A7A28"/>
    <w:multiLevelType w:val="multilevel"/>
    <w:tmpl w:val="356CC3C2"/>
    <w:lvl w:ilvl="0">
      <w:start w:val="2"/>
      <w:numFmt w:val="decimal"/>
      <w:lvlText w:val="%1"/>
      <w:lvlJc w:val="left"/>
      <w:pPr>
        <w:ind w:left="360" w:hanging="360"/>
      </w:pPr>
      <w:rPr>
        <w:rFonts w:hint="default"/>
      </w:rPr>
    </w:lvl>
    <w:lvl w:ilvl="1">
      <w:start w:val="1"/>
      <w:numFmt w:val="decimal"/>
      <w:lvlText w:val="3.%2"/>
      <w:lvlJc w:val="left"/>
      <w:pPr>
        <w:ind w:left="1055" w:hanging="36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360" w:hanging="1800"/>
      </w:pPr>
      <w:rPr>
        <w:rFonts w:hint="default"/>
      </w:rPr>
    </w:lvl>
  </w:abstractNum>
  <w:abstractNum w:abstractNumId="5" w15:restartNumberingAfterBreak="0">
    <w:nsid w:val="41077C31"/>
    <w:multiLevelType w:val="multilevel"/>
    <w:tmpl w:val="9370AB12"/>
    <w:lvl w:ilvl="0">
      <w:start w:val="2"/>
      <w:numFmt w:val="decimal"/>
      <w:lvlText w:val="%1"/>
      <w:lvlJc w:val="left"/>
      <w:pPr>
        <w:ind w:left="360" w:hanging="360"/>
      </w:pPr>
      <w:rPr>
        <w:rFonts w:hint="default"/>
      </w:rPr>
    </w:lvl>
    <w:lvl w:ilvl="1">
      <w:start w:val="1"/>
      <w:numFmt w:val="decimal"/>
      <w:lvlText w:val="%1.%2"/>
      <w:lvlJc w:val="left"/>
      <w:pPr>
        <w:ind w:left="1055" w:hanging="36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360" w:hanging="1800"/>
      </w:pPr>
      <w:rPr>
        <w:rFonts w:hint="default"/>
      </w:rPr>
    </w:lvl>
  </w:abstractNum>
  <w:abstractNum w:abstractNumId="6" w15:restartNumberingAfterBreak="0">
    <w:nsid w:val="507E2E61"/>
    <w:multiLevelType w:val="hybridMultilevel"/>
    <w:tmpl w:val="FFFFFFFF"/>
    <w:lvl w:ilvl="0" w:tplc="160E6000">
      <w:start w:val="1"/>
      <w:numFmt w:val="bullet"/>
      <w:lvlText w:val=""/>
      <w:lvlJc w:val="left"/>
      <w:pPr>
        <w:ind w:left="720" w:hanging="360"/>
      </w:pPr>
      <w:rPr>
        <w:rFonts w:hint="default" w:ascii="Symbol" w:hAnsi="Symbol"/>
      </w:rPr>
    </w:lvl>
    <w:lvl w:ilvl="1" w:tplc="71DA4C70">
      <w:start w:val="1"/>
      <w:numFmt w:val="bullet"/>
      <w:lvlText w:val="o"/>
      <w:lvlJc w:val="left"/>
      <w:pPr>
        <w:ind w:left="1440" w:hanging="360"/>
      </w:pPr>
      <w:rPr>
        <w:rFonts w:hint="default" w:ascii="Courier New" w:hAnsi="Courier New"/>
      </w:rPr>
    </w:lvl>
    <w:lvl w:ilvl="2" w:tplc="B9F0C584">
      <w:start w:val="1"/>
      <w:numFmt w:val="bullet"/>
      <w:lvlText w:val=""/>
      <w:lvlJc w:val="left"/>
      <w:pPr>
        <w:ind w:left="2160" w:hanging="360"/>
      </w:pPr>
      <w:rPr>
        <w:rFonts w:hint="default" w:ascii="Symbol" w:hAnsi="Symbol"/>
      </w:rPr>
    </w:lvl>
    <w:lvl w:ilvl="3" w:tplc="08D4006C">
      <w:start w:val="1"/>
      <w:numFmt w:val="bullet"/>
      <w:lvlText w:val=""/>
      <w:lvlJc w:val="left"/>
      <w:pPr>
        <w:ind w:left="2880" w:hanging="360"/>
      </w:pPr>
      <w:rPr>
        <w:rFonts w:hint="default" w:ascii="Symbol" w:hAnsi="Symbol"/>
      </w:rPr>
    </w:lvl>
    <w:lvl w:ilvl="4" w:tplc="814E0880">
      <w:start w:val="1"/>
      <w:numFmt w:val="bullet"/>
      <w:lvlText w:val="o"/>
      <w:lvlJc w:val="left"/>
      <w:pPr>
        <w:ind w:left="3600" w:hanging="360"/>
      </w:pPr>
      <w:rPr>
        <w:rFonts w:hint="default" w:ascii="Courier New" w:hAnsi="Courier New"/>
      </w:rPr>
    </w:lvl>
    <w:lvl w:ilvl="5" w:tplc="5F781A08">
      <w:start w:val="1"/>
      <w:numFmt w:val="bullet"/>
      <w:lvlText w:val=""/>
      <w:lvlJc w:val="left"/>
      <w:pPr>
        <w:ind w:left="4320" w:hanging="360"/>
      </w:pPr>
      <w:rPr>
        <w:rFonts w:hint="default" w:ascii="Wingdings" w:hAnsi="Wingdings"/>
      </w:rPr>
    </w:lvl>
    <w:lvl w:ilvl="6" w:tplc="2BE8C240">
      <w:start w:val="1"/>
      <w:numFmt w:val="bullet"/>
      <w:lvlText w:val=""/>
      <w:lvlJc w:val="left"/>
      <w:pPr>
        <w:ind w:left="5040" w:hanging="360"/>
      </w:pPr>
      <w:rPr>
        <w:rFonts w:hint="default" w:ascii="Symbol" w:hAnsi="Symbol"/>
      </w:rPr>
    </w:lvl>
    <w:lvl w:ilvl="7" w:tplc="81CE3DFE">
      <w:start w:val="1"/>
      <w:numFmt w:val="bullet"/>
      <w:lvlText w:val="o"/>
      <w:lvlJc w:val="left"/>
      <w:pPr>
        <w:ind w:left="5760" w:hanging="360"/>
      </w:pPr>
      <w:rPr>
        <w:rFonts w:hint="default" w:ascii="Courier New" w:hAnsi="Courier New"/>
      </w:rPr>
    </w:lvl>
    <w:lvl w:ilvl="8" w:tplc="961C4A28">
      <w:start w:val="1"/>
      <w:numFmt w:val="bullet"/>
      <w:lvlText w:val=""/>
      <w:lvlJc w:val="left"/>
      <w:pPr>
        <w:ind w:left="6480" w:hanging="360"/>
      </w:pPr>
      <w:rPr>
        <w:rFonts w:hint="default" w:ascii="Wingdings" w:hAnsi="Wingdings"/>
      </w:rPr>
    </w:lvl>
  </w:abstractNum>
  <w:num w:numId="1" w16cid:durableId="482739779">
    <w:abstractNumId w:val="3"/>
  </w:num>
  <w:num w:numId="2" w16cid:durableId="568810843">
    <w:abstractNumId w:val="0"/>
  </w:num>
  <w:num w:numId="3" w16cid:durableId="709577331">
    <w:abstractNumId w:val="5"/>
  </w:num>
  <w:num w:numId="4" w16cid:durableId="1013415908">
    <w:abstractNumId w:val="4"/>
  </w:num>
  <w:num w:numId="5" w16cid:durableId="445734945">
    <w:abstractNumId w:val="1"/>
  </w:num>
  <w:num w:numId="6" w16cid:durableId="2107994033">
    <w:abstractNumId w:val="2"/>
  </w:num>
  <w:num w:numId="7" w16cid:durableId="787315933">
    <w:abstractNumId w:val="6"/>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4"/>
    <w:rsid w:val="000138AA"/>
    <w:rsid w:val="000200AC"/>
    <w:rsid w:val="00047C16"/>
    <w:rsid w:val="00053A10"/>
    <w:rsid w:val="000614D4"/>
    <w:rsid w:val="00063BE9"/>
    <w:rsid w:val="000720F6"/>
    <w:rsid w:val="000B4EFB"/>
    <w:rsid w:val="000C1729"/>
    <w:rsid w:val="000E1F28"/>
    <w:rsid w:val="000E5FFC"/>
    <w:rsid w:val="000F3428"/>
    <w:rsid w:val="000F51C0"/>
    <w:rsid w:val="000F649B"/>
    <w:rsid w:val="001130E7"/>
    <w:rsid w:val="0012699B"/>
    <w:rsid w:val="00134B86"/>
    <w:rsid w:val="00134DE8"/>
    <w:rsid w:val="00155BAC"/>
    <w:rsid w:val="001C13C4"/>
    <w:rsid w:val="001D4056"/>
    <w:rsid w:val="001F156B"/>
    <w:rsid w:val="001F544F"/>
    <w:rsid w:val="00216ECE"/>
    <w:rsid w:val="00220E94"/>
    <w:rsid w:val="002309E5"/>
    <w:rsid w:val="00232896"/>
    <w:rsid w:val="00274C2D"/>
    <w:rsid w:val="00277BB2"/>
    <w:rsid w:val="00281D88"/>
    <w:rsid w:val="002822ED"/>
    <w:rsid w:val="00290300"/>
    <w:rsid w:val="00292D01"/>
    <w:rsid w:val="00297D9B"/>
    <w:rsid w:val="002A1A95"/>
    <w:rsid w:val="002A28E8"/>
    <w:rsid w:val="002A3864"/>
    <w:rsid w:val="002E68F3"/>
    <w:rsid w:val="00315992"/>
    <w:rsid w:val="0036422D"/>
    <w:rsid w:val="00364B8B"/>
    <w:rsid w:val="003736BD"/>
    <w:rsid w:val="003C4D77"/>
    <w:rsid w:val="003E349E"/>
    <w:rsid w:val="003E41DD"/>
    <w:rsid w:val="00426D48"/>
    <w:rsid w:val="00431750"/>
    <w:rsid w:val="004409D5"/>
    <w:rsid w:val="004431D3"/>
    <w:rsid w:val="00446356"/>
    <w:rsid w:val="004601DF"/>
    <w:rsid w:val="004729FE"/>
    <w:rsid w:val="00477199"/>
    <w:rsid w:val="004777AB"/>
    <w:rsid w:val="00484BB2"/>
    <w:rsid w:val="004D47BE"/>
    <w:rsid w:val="004E0DCD"/>
    <w:rsid w:val="004F6130"/>
    <w:rsid w:val="00505D37"/>
    <w:rsid w:val="005072A5"/>
    <w:rsid w:val="005114EC"/>
    <w:rsid w:val="00581B4E"/>
    <w:rsid w:val="005A2F65"/>
    <w:rsid w:val="005F2DCA"/>
    <w:rsid w:val="005F7B15"/>
    <w:rsid w:val="00603896"/>
    <w:rsid w:val="00626096"/>
    <w:rsid w:val="00637253"/>
    <w:rsid w:val="00695D2E"/>
    <w:rsid w:val="006B3011"/>
    <w:rsid w:val="006C7327"/>
    <w:rsid w:val="0072190B"/>
    <w:rsid w:val="00755BAC"/>
    <w:rsid w:val="0079265C"/>
    <w:rsid w:val="007A3C6C"/>
    <w:rsid w:val="007C2AAE"/>
    <w:rsid w:val="007E7F5A"/>
    <w:rsid w:val="0085457A"/>
    <w:rsid w:val="0086123C"/>
    <w:rsid w:val="0088421E"/>
    <w:rsid w:val="008B00FE"/>
    <w:rsid w:val="008F3AD5"/>
    <w:rsid w:val="008F5B6F"/>
    <w:rsid w:val="0091619D"/>
    <w:rsid w:val="009439F0"/>
    <w:rsid w:val="009547B1"/>
    <w:rsid w:val="0096323B"/>
    <w:rsid w:val="00963915"/>
    <w:rsid w:val="0098668D"/>
    <w:rsid w:val="00997A37"/>
    <w:rsid w:val="009C0860"/>
    <w:rsid w:val="009C1E33"/>
    <w:rsid w:val="009F1F1F"/>
    <w:rsid w:val="00A3169F"/>
    <w:rsid w:val="00A966F6"/>
    <w:rsid w:val="00B16B3D"/>
    <w:rsid w:val="00BB63BA"/>
    <w:rsid w:val="00C07745"/>
    <w:rsid w:val="00C2294A"/>
    <w:rsid w:val="00C22F09"/>
    <w:rsid w:val="00C23119"/>
    <w:rsid w:val="00CA22E2"/>
    <w:rsid w:val="00CF430F"/>
    <w:rsid w:val="00D06CF7"/>
    <w:rsid w:val="00D20C6F"/>
    <w:rsid w:val="00D27913"/>
    <w:rsid w:val="00DC267A"/>
    <w:rsid w:val="00DE3E12"/>
    <w:rsid w:val="00DF5D63"/>
    <w:rsid w:val="00E14931"/>
    <w:rsid w:val="00F31C01"/>
    <w:rsid w:val="00F61268"/>
    <w:rsid w:val="00F6402D"/>
    <w:rsid w:val="00F64C6C"/>
    <w:rsid w:val="00F6780F"/>
    <w:rsid w:val="00F71226"/>
    <w:rsid w:val="00FC4FAF"/>
    <w:rsid w:val="00FF1FD9"/>
    <w:rsid w:val="0993184B"/>
    <w:rsid w:val="1D60975A"/>
    <w:rsid w:val="1DECCC08"/>
    <w:rsid w:val="24007D2B"/>
    <w:rsid w:val="38583AAE"/>
    <w:rsid w:val="42150262"/>
    <w:rsid w:val="5B5685E8"/>
    <w:rsid w:val="5DFE826B"/>
    <w:rsid w:val="609162F3"/>
    <w:rsid w:val="6763E7A9"/>
    <w:rsid w:val="691D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9324"/>
  <w15:docId w15:val="{0F6BD15C-F74E-4B9B-98C3-5E0B7A7616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3896"/>
    <w:rPr>
      <w:rFonts w:ascii="Arial" w:hAnsi="Arial" w:eastAsia="Arial" w:cs="Arial"/>
    </w:rPr>
  </w:style>
  <w:style w:type="paragraph" w:styleId="Heading1">
    <w:name w:val="heading 1"/>
    <w:basedOn w:val="Normal"/>
    <w:link w:val="Heading1Char"/>
    <w:uiPriority w:val="9"/>
    <w:qFormat/>
    <w:pPr>
      <w:spacing w:before="214"/>
      <w:ind w:left="147"/>
      <w:outlineLvl w:val="0"/>
    </w:pPr>
    <w:rPr>
      <w:rFonts w:ascii="Arial Black" w:hAnsi="Arial Black" w:eastAsia="Arial Black" w:cs="Arial Black"/>
      <w:b/>
      <w:bCs/>
      <w:sz w:val="32"/>
      <w:szCs w:val="32"/>
    </w:rPr>
  </w:style>
  <w:style w:type="paragraph" w:styleId="Heading2">
    <w:name w:val="heading 2"/>
    <w:basedOn w:val="Normal"/>
    <w:link w:val="Heading2Char"/>
    <w:uiPriority w:val="9"/>
    <w:unhideWhenUsed/>
    <w:qFormat/>
    <w:pPr>
      <w:ind w:left="1588" w:hanging="893"/>
      <w:outlineLvl w:val="1"/>
    </w:pPr>
    <w:rPr>
      <w:b/>
      <w:bCs/>
      <w:sz w:val="24"/>
      <w:szCs w:val="24"/>
    </w:rPr>
  </w:style>
  <w:style w:type="paragraph" w:styleId="Heading3">
    <w:name w:val="heading 3"/>
    <w:basedOn w:val="Normal"/>
    <w:link w:val="Heading3Char"/>
    <w:uiPriority w:val="9"/>
    <w:unhideWhenUsed/>
    <w:qFormat/>
    <w:pPr>
      <w:spacing w:before="118"/>
      <w:ind w:left="868"/>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08"/>
      <w:ind w:left="148"/>
    </w:pPr>
    <w:rPr>
      <w:b/>
      <w:bCs/>
      <w:i/>
      <w:sz w:val="25"/>
      <w:szCs w:val="25"/>
    </w:rPr>
  </w:style>
  <w:style w:type="paragraph" w:styleId="TOC2">
    <w:name w:val="toc 2"/>
    <w:basedOn w:val="Normal"/>
    <w:uiPriority w:val="1"/>
    <w:qFormat/>
    <w:pPr>
      <w:spacing w:before="120"/>
      <w:ind w:left="1028" w:hanging="660"/>
    </w:pPr>
  </w:style>
  <w:style w:type="paragraph" w:styleId="TOC3">
    <w:name w:val="toc 3"/>
    <w:basedOn w:val="Normal"/>
    <w:uiPriority w:val="1"/>
    <w:qFormat/>
    <w:pPr>
      <w:spacing w:before="60"/>
      <w:ind w:left="1468" w:hanging="874"/>
    </w:pPr>
    <w:rPr>
      <w:sz w:val="20"/>
      <w:szCs w:val="20"/>
    </w:rPr>
  </w:style>
  <w:style w:type="paragraph" w:styleId="BodyText">
    <w:name w:val="Body Text"/>
    <w:basedOn w:val="Normal"/>
    <w:link w:val="BodyTextChar"/>
    <w:uiPriority w:val="1"/>
    <w:qFormat/>
    <w:pPr>
      <w:spacing w:before="119"/>
    </w:pPr>
  </w:style>
  <w:style w:type="paragraph" w:styleId="ListParagraph">
    <w:name w:val="List Paragraph"/>
    <w:basedOn w:val="Normal"/>
    <w:uiPriority w:val="1"/>
    <w:qFormat/>
    <w:pPr>
      <w:spacing w:before="121"/>
      <w:ind w:left="1588" w:hanging="360"/>
    </w:pPr>
  </w:style>
  <w:style w:type="paragraph" w:styleId="TableParagraph" w:customStyle="1">
    <w:name w:val="Table Paragraph"/>
    <w:basedOn w:val="Normal"/>
    <w:uiPriority w:val="1"/>
    <w:qFormat/>
    <w:pPr>
      <w:ind w:left="103"/>
    </w:pPr>
  </w:style>
  <w:style w:type="paragraph" w:styleId="Header">
    <w:name w:val="header"/>
    <w:basedOn w:val="Normal"/>
    <w:link w:val="HeaderChar"/>
    <w:uiPriority w:val="99"/>
    <w:unhideWhenUsed/>
    <w:rsid w:val="006C7327"/>
    <w:pPr>
      <w:tabs>
        <w:tab w:val="center" w:pos="4680"/>
        <w:tab w:val="right" w:pos="9360"/>
      </w:tabs>
    </w:pPr>
  </w:style>
  <w:style w:type="character" w:styleId="HeaderChar" w:customStyle="1">
    <w:name w:val="Header Char"/>
    <w:basedOn w:val="DefaultParagraphFont"/>
    <w:link w:val="Header"/>
    <w:uiPriority w:val="99"/>
    <w:rsid w:val="006C7327"/>
    <w:rPr>
      <w:rFonts w:ascii="Arial" w:hAnsi="Arial" w:eastAsia="Arial" w:cs="Arial"/>
    </w:rPr>
  </w:style>
  <w:style w:type="paragraph" w:styleId="Footer">
    <w:name w:val="footer"/>
    <w:basedOn w:val="Normal"/>
    <w:link w:val="FooterChar"/>
    <w:uiPriority w:val="99"/>
    <w:unhideWhenUsed/>
    <w:rsid w:val="006C7327"/>
    <w:pPr>
      <w:tabs>
        <w:tab w:val="center" w:pos="4680"/>
        <w:tab w:val="right" w:pos="9360"/>
      </w:tabs>
    </w:pPr>
  </w:style>
  <w:style w:type="character" w:styleId="FooterChar" w:customStyle="1">
    <w:name w:val="Footer Char"/>
    <w:basedOn w:val="DefaultParagraphFont"/>
    <w:link w:val="Footer"/>
    <w:uiPriority w:val="99"/>
    <w:rsid w:val="006C7327"/>
    <w:rPr>
      <w:rFonts w:ascii="Arial" w:hAnsi="Arial" w:eastAsia="Arial" w:cs="Arial"/>
    </w:rPr>
  </w:style>
  <w:style w:type="character" w:styleId="Heading2Char" w:customStyle="1">
    <w:name w:val="Heading 2 Char"/>
    <w:basedOn w:val="DefaultParagraphFont"/>
    <w:link w:val="Heading2"/>
    <w:uiPriority w:val="9"/>
    <w:rsid w:val="006C7327"/>
    <w:rPr>
      <w:rFonts w:ascii="Arial" w:hAnsi="Arial" w:eastAsia="Arial" w:cs="Arial"/>
      <w:b/>
      <w:bCs/>
      <w:sz w:val="24"/>
      <w:szCs w:val="24"/>
    </w:rPr>
  </w:style>
  <w:style w:type="character" w:styleId="BodyTextChar" w:customStyle="1">
    <w:name w:val="Body Text Char"/>
    <w:basedOn w:val="DefaultParagraphFont"/>
    <w:link w:val="BodyText"/>
    <w:uiPriority w:val="1"/>
    <w:rsid w:val="006C7327"/>
    <w:rPr>
      <w:rFonts w:ascii="Arial" w:hAnsi="Arial" w:eastAsia="Arial" w:cs="Arial"/>
    </w:rPr>
  </w:style>
  <w:style w:type="character" w:styleId="CommentReference">
    <w:name w:val="annotation reference"/>
    <w:basedOn w:val="DefaultParagraphFont"/>
    <w:uiPriority w:val="99"/>
    <w:semiHidden/>
    <w:unhideWhenUsed/>
    <w:rsid w:val="00CF430F"/>
    <w:rPr>
      <w:sz w:val="16"/>
      <w:szCs w:val="16"/>
    </w:rPr>
  </w:style>
  <w:style w:type="paragraph" w:styleId="CommentText">
    <w:name w:val="annotation text"/>
    <w:basedOn w:val="Normal"/>
    <w:link w:val="CommentTextChar"/>
    <w:uiPriority w:val="99"/>
    <w:unhideWhenUsed/>
    <w:rsid w:val="00CF430F"/>
    <w:rPr>
      <w:sz w:val="20"/>
      <w:szCs w:val="20"/>
    </w:rPr>
  </w:style>
  <w:style w:type="character" w:styleId="CommentTextChar" w:customStyle="1">
    <w:name w:val="Comment Text Char"/>
    <w:basedOn w:val="DefaultParagraphFont"/>
    <w:link w:val="CommentText"/>
    <w:uiPriority w:val="99"/>
    <w:rsid w:val="00CF430F"/>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CF430F"/>
    <w:rPr>
      <w:b/>
      <w:bCs/>
    </w:rPr>
  </w:style>
  <w:style w:type="character" w:styleId="CommentSubjectChar" w:customStyle="1">
    <w:name w:val="Comment Subject Char"/>
    <w:basedOn w:val="CommentTextChar"/>
    <w:link w:val="CommentSubject"/>
    <w:uiPriority w:val="99"/>
    <w:semiHidden/>
    <w:rsid w:val="00CF430F"/>
    <w:rPr>
      <w:rFonts w:ascii="Arial" w:hAnsi="Arial" w:eastAsia="Arial" w:cs="Arial"/>
      <w:b/>
      <w:bCs/>
      <w:sz w:val="20"/>
      <w:szCs w:val="20"/>
    </w:rPr>
  </w:style>
  <w:style w:type="character" w:styleId="Heading1Char" w:customStyle="1">
    <w:name w:val="Heading 1 Char"/>
    <w:basedOn w:val="DefaultParagraphFont"/>
    <w:link w:val="Heading1"/>
    <w:uiPriority w:val="9"/>
    <w:rsid w:val="00603896"/>
    <w:rPr>
      <w:rFonts w:ascii="Arial Black" w:hAnsi="Arial Black" w:eastAsia="Arial Black" w:cs="Arial Black"/>
      <w:b/>
      <w:bCs/>
      <w:sz w:val="32"/>
      <w:szCs w:val="32"/>
    </w:rPr>
  </w:style>
  <w:style w:type="character" w:styleId="Heading3Char" w:customStyle="1">
    <w:name w:val="Heading 3 Char"/>
    <w:basedOn w:val="DefaultParagraphFont"/>
    <w:link w:val="Heading3"/>
    <w:uiPriority w:val="9"/>
    <w:rsid w:val="0079265C"/>
    <w:rPr>
      <w:rFonts w:ascii="Arial" w:hAnsi="Arial" w:eastAsia="Arial" w:cs="Arial"/>
      <w:b/>
      <w:bCs/>
    </w:rPr>
  </w:style>
  <w:style w:type="paragraph" w:styleId="paragraph" w:customStyle="1">
    <w:name w:val="paragraph"/>
    <w:basedOn w:val="Normal"/>
    <w:rsid w:val="00297D9B"/>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297D9B"/>
  </w:style>
  <w:style w:type="character" w:styleId="superscript" w:customStyle="1">
    <w:name w:val="superscript"/>
    <w:basedOn w:val="DefaultParagraphFont"/>
    <w:rsid w:val="00297D9B"/>
  </w:style>
  <w:style w:type="character" w:styleId="eop" w:customStyle="1">
    <w:name w:val="eop"/>
    <w:basedOn w:val="DefaultParagraphFont"/>
    <w:rsid w:val="00297D9B"/>
  </w:style>
  <w:style w:type="character" w:styleId="contextualspellingandgrammarerror" w:customStyle="1">
    <w:name w:val="contextualspellingandgrammarerror"/>
    <w:basedOn w:val="DefaultParagraphFont"/>
    <w:rsid w:val="0029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00380">
      <w:bodyDiv w:val="1"/>
      <w:marLeft w:val="0"/>
      <w:marRight w:val="0"/>
      <w:marTop w:val="0"/>
      <w:marBottom w:val="0"/>
      <w:divBdr>
        <w:top w:val="none" w:sz="0" w:space="0" w:color="auto"/>
        <w:left w:val="none" w:sz="0" w:space="0" w:color="auto"/>
        <w:bottom w:val="none" w:sz="0" w:space="0" w:color="auto"/>
        <w:right w:val="none" w:sz="0" w:space="0" w:color="auto"/>
      </w:divBdr>
      <w:divsChild>
        <w:div w:id="1603803034">
          <w:marLeft w:val="0"/>
          <w:marRight w:val="0"/>
          <w:marTop w:val="0"/>
          <w:marBottom w:val="0"/>
          <w:divBdr>
            <w:top w:val="none" w:sz="0" w:space="0" w:color="auto"/>
            <w:left w:val="none" w:sz="0" w:space="0" w:color="auto"/>
            <w:bottom w:val="none" w:sz="0" w:space="0" w:color="auto"/>
            <w:right w:val="none" w:sz="0" w:space="0" w:color="auto"/>
          </w:divBdr>
        </w:div>
        <w:div w:id="1774013358">
          <w:marLeft w:val="0"/>
          <w:marRight w:val="0"/>
          <w:marTop w:val="0"/>
          <w:marBottom w:val="0"/>
          <w:divBdr>
            <w:top w:val="none" w:sz="0" w:space="0" w:color="auto"/>
            <w:left w:val="none" w:sz="0" w:space="0" w:color="auto"/>
            <w:bottom w:val="none" w:sz="0" w:space="0" w:color="auto"/>
            <w:right w:val="none" w:sz="0" w:space="0" w:color="auto"/>
          </w:divBdr>
        </w:div>
        <w:div w:id="1820266181">
          <w:marLeft w:val="0"/>
          <w:marRight w:val="0"/>
          <w:marTop w:val="0"/>
          <w:marBottom w:val="0"/>
          <w:divBdr>
            <w:top w:val="none" w:sz="0" w:space="0" w:color="auto"/>
            <w:left w:val="none" w:sz="0" w:space="0" w:color="auto"/>
            <w:bottom w:val="none" w:sz="0" w:space="0" w:color="auto"/>
            <w:right w:val="none" w:sz="0" w:space="0" w:color="auto"/>
          </w:divBdr>
        </w:div>
      </w:divsChild>
    </w:div>
    <w:div w:id="1862930867">
      <w:bodyDiv w:val="1"/>
      <w:marLeft w:val="0"/>
      <w:marRight w:val="0"/>
      <w:marTop w:val="0"/>
      <w:marBottom w:val="0"/>
      <w:divBdr>
        <w:top w:val="none" w:sz="0" w:space="0" w:color="auto"/>
        <w:left w:val="none" w:sz="0" w:space="0" w:color="auto"/>
        <w:bottom w:val="none" w:sz="0" w:space="0" w:color="auto"/>
        <w:right w:val="none" w:sz="0" w:space="0" w:color="auto"/>
      </w:divBdr>
      <w:divsChild>
        <w:div w:id="1028947020">
          <w:marLeft w:val="0"/>
          <w:marRight w:val="0"/>
          <w:marTop w:val="0"/>
          <w:marBottom w:val="0"/>
          <w:divBdr>
            <w:top w:val="none" w:sz="0" w:space="0" w:color="auto"/>
            <w:left w:val="none" w:sz="0" w:space="0" w:color="auto"/>
            <w:bottom w:val="none" w:sz="0" w:space="0" w:color="auto"/>
            <w:right w:val="none" w:sz="0" w:space="0" w:color="auto"/>
          </w:divBdr>
        </w:div>
        <w:div w:id="579797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nvcourts.gov/AOC/Procurements/.AOC"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ontracts@nvcourts.nv.gov" TargetMode="Externa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contracts@nvcourts.nv.gov" TargetMode="External" Id="rId14" /><Relationship Type="http://schemas.openxmlformats.org/officeDocument/2006/relationships/glossaryDocument" Target="glossary/document.xml" Id="R86f84692a70c4e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28c25b-e9eb-42f4-a296-bedc8398f5c5}"/>
      </w:docPartPr>
      <w:docPartBody>
        <w:p w14:paraId="0A6AE7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798E13271B1745BA4C10247D3E3D73" ma:contentTypeVersion="2" ma:contentTypeDescription="Create a new document." ma:contentTypeScope="" ma:versionID="3da374e663fd221ffe52f0e89511dbc4">
  <xsd:schema xmlns:xsd="http://www.w3.org/2001/XMLSchema" xmlns:xs="http://www.w3.org/2001/XMLSchema" xmlns:p="http://schemas.microsoft.com/office/2006/metadata/properties" xmlns:ns2="c13bd8d9-094f-4430-a100-a9b5e57e3684" targetNamespace="http://schemas.microsoft.com/office/2006/metadata/properties" ma:root="true" ma:fieldsID="82b0e8b93986f986646d09caab2106a6" ns2:_="">
    <xsd:import namespace="c13bd8d9-094f-4430-a100-a9b5e57e36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bd8d9-094f-4430-a100-a9b5e57e3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FFD30-C16C-4174-BE2E-5AD2A452EE20}">
  <ds:schemaRefs>
    <ds:schemaRef ds:uri="http://schemas.openxmlformats.org/officeDocument/2006/bibliography"/>
  </ds:schemaRefs>
</ds:datastoreItem>
</file>

<file path=customXml/itemProps2.xml><?xml version="1.0" encoding="utf-8"?>
<ds:datastoreItem xmlns:ds="http://schemas.openxmlformats.org/officeDocument/2006/customXml" ds:itemID="{9F18329D-5E40-481D-8763-C186E53697D4}"/>
</file>

<file path=customXml/itemProps3.xml><?xml version="1.0" encoding="utf-8"?>
<ds:datastoreItem xmlns:ds="http://schemas.openxmlformats.org/officeDocument/2006/customXml" ds:itemID="{33BF2872-812E-4D4A-8F4C-9934DF96896D}"/>
</file>

<file path=customXml/itemProps4.xml><?xml version="1.0" encoding="utf-8"?>
<ds:datastoreItem xmlns:ds="http://schemas.openxmlformats.org/officeDocument/2006/customXml" ds:itemID="{4739C8A1-57B7-41AB-90F6-9601276DB4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Purpose of RFP and Procurement Rules</dc:title>
  <dc:subject>EngagementAlias</dc:subject>
  <dc:creator>Mena Ramon</dc:creator>
  <keywords/>
  <dc:description/>
  <lastModifiedBy>Bell, Justin</lastModifiedBy>
  <revision>4</revision>
  <dcterms:created xsi:type="dcterms:W3CDTF">2022-09-09T20:19:00.0000000Z</dcterms:created>
  <dcterms:modified xsi:type="dcterms:W3CDTF">2022-09-14T16:21:36.5535487Z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Acrobat PDFMaker 21 for Word</vt:lpwstr>
  </property>
  <property fmtid="{D5CDD505-2E9C-101B-9397-08002B2CF9AE}" pid="4" name="LastSaved">
    <vt:filetime>2022-05-19T00:00:00Z</vt:filetime>
  </property>
  <property fmtid="{D5CDD505-2E9C-101B-9397-08002B2CF9AE}" pid="5" name="ContentTypeId">
    <vt:lpwstr>0x01010047798E13271B1745BA4C10247D3E3D73</vt:lpwstr>
  </property>
</Properties>
</file>